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31" w:rsidRPr="00250350" w:rsidRDefault="00E12131" w:rsidP="00E12131">
      <w:pPr>
        <w:pStyle w:val="Heading2"/>
      </w:pPr>
      <w:bookmarkStart w:id="0" w:name="_Toc532630364"/>
      <w:bookmarkStart w:id="1" w:name="_GoBack"/>
      <w:r>
        <w:t>Annex 18: GBV training t</w:t>
      </w:r>
      <w:r w:rsidRPr="00250350">
        <w:t>opics</w:t>
      </w:r>
      <w:r>
        <w:t xml:space="preserve"> menu</w:t>
      </w:r>
      <w:bookmarkEnd w:id="0"/>
      <w:bookmarkEnd w:id="1"/>
    </w:p>
    <w:p w:rsidR="00E12131" w:rsidRPr="00250350" w:rsidRDefault="00E12131" w:rsidP="00E12131">
      <w:pPr>
        <w:spacing w:after="200" w:line="240" w:lineRule="auto"/>
        <w:rPr>
          <w:rFonts w:ascii="Times New Roman" w:hAnsi="Times New Roman"/>
          <w:b/>
          <w:lang w:val="en-GB"/>
        </w:rPr>
      </w:pPr>
    </w:p>
    <w:p w:rsidR="00E12131" w:rsidRDefault="00E12131" w:rsidP="00E12131">
      <w:pPr>
        <w:spacing w:beforeLines="1" w:before="2" w:afterLines="1" w:after="2" w:line="240" w:lineRule="auto"/>
        <w:contextualSpacing w:val="0"/>
        <w:rPr>
          <w:rFonts w:ascii="Garamond" w:eastAsiaTheme="minorHAnsi" w:hAnsi="Garamond" w:cs="Times New Roman"/>
          <w:sz w:val="24"/>
          <w:szCs w:val="24"/>
          <w:lang w:val="en-GB"/>
        </w:rPr>
      </w:pPr>
      <w:r w:rsidRPr="00250350">
        <w:rPr>
          <w:rFonts w:ascii="Garamond" w:eastAsiaTheme="minorHAnsi" w:hAnsi="Garamond" w:cs="Times New Roman"/>
          <w:sz w:val="24"/>
          <w:szCs w:val="24"/>
          <w:lang w:val="en-GB"/>
        </w:rPr>
        <w:t>A number of</w:t>
      </w:r>
      <w:r>
        <w:rPr>
          <w:rFonts w:ascii="Garamond" w:eastAsiaTheme="minorHAnsi" w:hAnsi="Garamond" w:cs="Times New Roman"/>
          <w:sz w:val="24"/>
          <w:szCs w:val="24"/>
          <w:lang w:val="en-GB"/>
        </w:rPr>
        <w:t xml:space="preserve"> global</w:t>
      </w:r>
      <w:r w:rsidRPr="00250350">
        <w:rPr>
          <w:rFonts w:ascii="Garamond" w:eastAsiaTheme="minorHAnsi" w:hAnsi="Garamond" w:cs="Times New Roman"/>
          <w:sz w:val="24"/>
          <w:szCs w:val="24"/>
          <w:lang w:val="en-GB"/>
        </w:rPr>
        <w:t xml:space="preserve"> </w:t>
      </w:r>
      <w:r>
        <w:rPr>
          <w:rFonts w:ascii="Garamond" w:eastAsiaTheme="minorHAnsi" w:hAnsi="Garamond" w:cs="Times New Roman"/>
          <w:sz w:val="24"/>
          <w:szCs w:val="24"/>
          <w:lang w:val="en-GB"/>
        </w:rPr>
        <w:t>and country-specific GBV in emergencies</w:t>
      </w:r>
      <w:r w:rsidRPr="00250350">
        <w:rPr>
          <w:rFonts w:ascii="Garamond" w:eastAsiaTheme="minorHAnsi" w:hAnsi="Garamond" w:cs="Times New Roman"/>
          <w:sz w:val="24"/>
          <w:szCs w:val="24"/>
          <w:lang w:val="en-GB"/>
        </w:rPr>
        <w:t xml:space="preserve"> training resources</w:t>
      </w:r>
      <w:r>
        <w:rPr>
          <w:rFonts w:ascii="Garamond" w:eastAsiaTheme="minorHAnsi" w:hAnsi="Garamond" w:cs="Times New Roman"/>
          <w:sz w:val="24"/>
          <w:szCs w:val="24"/>
          <w:lang w:val="en-GB"/>
        </w:rPr>
        <w:t xml:space="preserve"> exist</w:t>
      </w:r>
      <w:r w:rsidRPr="00250350">
        <w:rPr>
          <w:rFonts w:ascii="Garamond" w:eastAsiaTheme="minorHAnsi" w:hAnsi="Garamond" w:cs="Times New Roman"/>
          <w:sz w:val="24"/>
          <w:szCs w:val="24"/>
          <w:lang w:val="en-GB"/>
        </w:rPr>
        <w:t>.</w:t>
      </w:r>
      <w:r>
        <w:rPr>
          <w:rFonts w:ascii="Garamond" w:eastAsiaTheme="minorHAnsi" w:hAnsi="Garamond" w:cs="Times New Roman"/>
          <w:sz w:val="24"/>
          <w:szCs w:val="24"/>
          <w:lang w:val="en-GB"/>
        </w:rPr>
        <w:t xml:space="preserve"> Following an assessment of training needs, GBV sub-cluster</w:t>
      </w:r>
      <w:r w:rsidRPr="00250350">
        <w:rPr>
          <w:rFonts w:ascii="Garamond" w:eastAsiaTheme="minorHAnsi" w:hAnsi="Garamond" w:cs="Times New Roman"/>
          <w:sz w:val="24"/>
          <w:szCs w:val="24"/>
          <w:lang w:val="en-GB"/>
        </w:rPr>
        <w:t>s may choose to adopt a particular training curriculum for a setting or timefr</w:t>
      </w:r>
      <w:r>
        <w:rPr>
          <w:rFonts w:ascii="Garamond" w:eastAsiaTheme="minorHAnsi" w:hAnsi="Garamond" w:cs="Times New Roman"/>
          <w:sz w:val="24"/>
          <w:szCs w:val="24"/>
          <w:lang w:val="en-GB"/>
        </w:rPr>
        <w:t>ame to endorse, to ensure that</w:t>
      </w:r>
      <w:r w:rsidRPr="00250350">
        <w:rPr>
          <w:rFonts w:ascii="Garamond" w:eastAsiaTheme="minorHAnsi" w:hAnsi="Garamond" w:cs="Times New Roman"/>
          <w:sz w:val="24"/>
          <w:szCs w:val="24"/>
          <w:lang w:val="en-GB"/>
        </w:rPr>
        <w:t xml:space="preserve"> training is consistent across the different geographic locations and target audiences of a response. </w:t>
      </w:r>
    </w:p>
    <w:p w:rsidR="00E12131" w:rsidRDefault="00E12131" w:rsidP="00E12131">
      <w:pPr>
        <w:spacing w:beforeLines="1" w:before="2" w:afterLines="1" w:after="2" w:line="240" w:lineRule="auto"/>
        <w:contextualSpacing w:val="0"/>
        <w:rPr>
          <w:rFonts w:ascii="Garamond" w:eastAsiaTheme="minorHAnsi" w:hAnsi="Garamond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20"/>
        <w:gridCol w:w="2870"/>
        <w:gridCol w:w="3071"/>
        <w:gridCol w:w="1255"/>
      </w:tblGrid>
      <w:tr w:rsidR="00E12131" w:rsidTr="006B4AA6">
        <w:tc>
          <w:tcPr>
            <w:tcW w:w="0" w:type="auto"/>
          </w:tcPr>
          <w:p w:rsidR="00E12131" w:rsidRPr="00F02E22" w:rsidRDefault="00E12131" w:rsidP="006B4AA6">
            <w:pPr>
              <w:spacing w:beforeLines="1" w:before="2" w:afterLines="1" w:after="2" w:line="240" w:lineRule="auto"/>
              <w:contextualSpacing w:val="0"/>
              <w:jc w:val="center"/>
              <w:rPr>
                <w:rFonts w:ascii="Garamond" w:eastAsiaTheme="minorHAnsi" w:hAnsi="Garamond" w:cs="Times New Roman"/>
                <w:b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b/>
                <w:sz w:val="24"/>
                <w:szCs w:val="24"/>
                <w:lang w:val="en-GB"/>
              </w:rPr>
              <w:t>Suggested # of Days</w:t>
            </w:r>
          </w:p>
        </w:tc>
        <w:tc>
          <w:tcPr>
            <w:tcW w:w="0" w:type="auto"/>
          </w:tcPr>
          <w:p w:rsidR="00E12131" w:rsidRPr="00F02E22" w:rsidRDefault="00E12131" w:rsidP="006B4AA6">
            <w:pPr>
              <w:spacing w:beforeLines="1" w:before="2" w:afterLines="1" w:after="2" w:line="240" w:lineRule="auto"/>
              <w:contextualSpacing w:val="0"/>
              <w:jc w:val="center"/>
              <w:rPr>
                <w:rFonts w:ascii="Garamond" w:eastAsiaTheme="minorHAnsi" w:hAnsi="Garamond" w:cs="Times New Roman"/>
                <w:b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b/>
                <w:sz w:val="24"/>
                <w:szCs w:val="24"/>
                <w:lang w:val="en-GB"/>
              </w:rPr>
              <w:t>Topic</w:t>
            </w:r>
          </w:p>
        </w:tc>
        <w:tc>
          <w:tcPr>
            <w:tcW w:w="0" w:type="auto"/>
          </w:tcPr>
          <w:p w:rsidR="00E12131" w:rsidRPr="00F02E22" w:rsidRDefault="00E12131" w:rsidP="006B4AA6">
            <w:pPr>
              <w:spacing w:beforeLines="1" w:before="2" w:afterLines="1" w:after="2" w:line="240" w:lineRule="auto"/>
              <w:contextualSpacing w:val="0"/>
              <w:jc w:val="center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b/>
                <w:bCs/>
                <w:sz w:val="24"/>
                <w:szCs w:val="24"/>
                <w:lang w:val="en-GB"/>
              </w:rPr>
              <w:t>Training Objectives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jc w:val="center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b/>
                <w:bCs/>
                <w:sz w:val="24"/>
                <w:szCs w:val="24"/>
                <w:lang w:val="en-GB"/>
              </w:rPr>
              <w:t>Need? (Yes/No)</w:t>
            </w: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Define “gender”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Describe the importance of understanding the concepts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of gender when doing GBV work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Demonstrate understanding of their own gender roles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and gender in their community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how issues of gender ca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n put women and girls at risk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Describe the concept of gender in their own gender roles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and gender in their community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how issues of gender ca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n put women and girls at risk</w:t>
            </w:r>
          </w:p>
          <w:p w:rsidR="00E12131" w:rsidRPr="00F02E22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02E2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the concept of gender in their mother tongue, without using the word “gender”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½ day 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Concepts of power and </w:t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abuse of power, vulnerability and lack of choice, different types of violence</w:t>
            </w:r>
          </w:p>
        </w:tc>
        <w:tc>
          <w:tcPr>
            <w:tcW w:w="0" w:type="auto"/>
          </w:tcPr>
          <w:p w:rsidR="00E12131" w:rsidRPr="00250350" w:rsidRDefault="00E12131" w:rsidP="00E12131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four </w:t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characteristics each of people in the community who have power and those who do not </w:t>
            </w:r>
          </w:p>
          <w:p w:rsidR="00E12131" w:rsidRPr="000C6590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four different types of violence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GBV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Define gender-based violence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the causes and contributing factors of GBV 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Discuss the role of power in gender-based violence 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human rights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lastRenderedPageBreak/>
              <w:t>violated by acts of GBV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types of GBV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Discuss the physical, psychological and social consequences survivors of GBV might face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lastRenderedPageBreak/>
              <w:t>½ day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Overview of GBV programme, staff roles &amp; responsibilities</w:t>
            </w:r>
          </w:p>
        </w:tc>
        <w:tc>
          <w:tcPr>
            <w:tcW w:w="0" w:type="auto"/>
          </w:tcPr>
          <w:p w:rsidR="00E12131" w:rsidRDefault="00E12131" w:rsidP="00E12131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Demonstrate an understanding of the individual’s job description </w:t>
            </w:r>
          </w:p>
          <w:p w:rsidR="00E12131" w:rsidRPr="000C6590" w:rsidRDefault="00E12131" w:rsidP="00E12131">
            <w:pPr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how the different job descriptions relate to the overall GBV programme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b/>
                <w:bCs/>
                <w:sz w:val="24"/>
                <w:szCs w:val="24"/>
                <w:lang w:val="en-GB"/>
              </w:rPr>
              <w:t>1 1⁄2 days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Prevention &amp; response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Define prevention activities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be four prevention activities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four groups of people prev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ention activities should target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Discuss the role the co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mmunity plays in preventing GBV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Define response activities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four primary sectors th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at can assist a survivor of GBV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four re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sponse actions of health actors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four response actions of psychosocial actors </w:t>
            </w:r>
          </w:p>
          <w:p w:rsidR="00E12131" w:rsidRPr="000C6590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C659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two response actions of legal/justice actors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two response actions of security actors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GBV Guiding Principles</w:t>
            </w:r>
          </w:p>
        </w:tc>
        <w:tc>
          <w:tcPr>
            <w:tcW w:w="0" w:type="auto"/>
          </w:tcPr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the t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hree primary guiding principles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three ways s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taff will guard confidentiality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Describe three ways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staff will respect the survivor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Describe two actions staff can take to ensure survivor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security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two actions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staff can take to ensure their </w: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security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Domestic violence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Define domestic violence</w: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>
              <w:instrText xml:space="preserve"> XE "</w:instrText>
            </w:r>
            <w:r w:rsidRPr="00E12131">
              <w:rPr>
                <w:rFonts w:ascii="Times New Roman" w:hAnsi="Times New Roman"/>
                <w:lang w:val="en-GB"/>
              </w:rPr>
              <w:instrText>domestic violence</w:instrText>
            </w:r>
            <w:r>
              <w:instrText xml:space="preserve">" </w:instrTex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do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mestic violence in their native </w: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language 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0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two psychological after-effects and describe </w:t>
            </w:r>
          </w:p>
          <w:p w:rsidR="00E12131" w:rsidRDefault="00E12131" w:rsidP="00E12131">
            <w:pPr>
              <w:pStyle w:val="ListParagraph"/>
              <w:spacing w:beforeLines="1" w:before="2" w:afterLines="1" w:after="2" w:line="240" w:lineRule="auto"/>
              <w:ind w:left="360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proofErr w:type="gramStart"/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sur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vivor</w:t>
            </w:r>
            <w:proofErr w:type="gramEnd"/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needs in relation to them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3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two health outcomes and describe survivor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needs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3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two potential threats to staff safety and how they can avoid th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em when working with DV cases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3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two goals of counselling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DV survivors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3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one positive and one negative potential action on the part of police and justice system in response to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DV cases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3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Discuss traditional ways of dealing with domestic </w:t>
            </w:r>
          </w:p>
          <w:p w:rsidR="00E12131" w:rsidRPr="00E12131" w:rsidRDefault="00E12131" w:rsidP="00E12131">
            <w:pPr>
              <w:pStyle w:val="ListParagraph"/>
              <w:spacing w:beforeLines="1" w:before="2" w:afterLines="1" w:after="2" w:line="240" w:lineRule="auto"/>
              <w:ind w:left="360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proofErr w:type="gramStart"/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violence</w:t>
            </w:r>
            <w:proofErr w:type="gramEnd"/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1 day 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Sexual abuse and exploitation</w:t>
            </w:r>
          </w:p>
        </w:tc>
        <w:tc>
          <w:tcPr>
            <w:tcW w:w="0" w:type="auto"/>
          </w:tcPr>
          <w:p w:rsidR="00E12131" w:rsidRPr="00E12131" w:rsidRDefault="00E12131" w:rsidP="00E12131">
            <w:pPr>
              <w:pStyle w:val="ListParagraph"/>
              <w:numPr>
                <w:ilvl w:val="0"/>
                <w:numId w:val="14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Discuss the rol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e of power in exploitation</w:t>
            </w:r>
          </w:p>
          <w:p w:rsidR="00E12131" w:rsidRPr="00E12131" w:rsidRDefault="00E12131" w:rsidP="006B4AA6">
            <w:pPr>
              <w:pStyle w:val="ListParagraph"/>
              <w:numPr>
                <w:ilvl w:val="0"/>
                <w:numId w:val="14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two psychological after-effects and describe survi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vor needs in relation to them</w:t>
            </w:r>
          </w:p>
          <w:p w:rsidR="00E12131" w:rsidRPr="00E12131" w:rsidRDefault="00E12131" w:rsidP="006B4AA6">
            <w:pPr>
              <w:pStyle w:val="ListParagraph"/>
              <w:numPr>
                <w:ilvl w:val="0"/>
                <w:numId w:val="14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two health outcomes and describe survivor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needs</w:t>
            </w:r>
          </w:p>
          <w:p w:rsidR="00E12131" w:rsidRPr="00E12131" w:rsidRDefault="00E12131" w:rsidP="006B4AA6">
            <w:pPr>
              <w:pStyle w:val="ListParagraph"/>
              <w:numPr>
                <w:ilvl w:val="0"/>
                <w:numId w:val="14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the staff’s agency-specific Code of Conduct and other staff performance guides in the setting</w:t>
            </w:r>
          </w:p>
          <w:p w:rsidR="00E12131" w:rsidRPr="00E12131" w:rsidRDefault="00E12131" w:rsidP="006B4AA6">
            <w:pPr>
              <w:pStyle w:val="ListParagraph"/>
              <w:numPr>
                <w:ilvl w:val="0"/>
                <w:numId w:val="14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the procedure for reporting sexual exploitation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2 days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Rape, sexual assault, abuse, including child sexual abuse</w:t>
            </w:r>
          </w:p>
        </w:tc>
        <w:tc>
          <w:tcPr>
            <w:tcW w:w="0" w:type="auto"/>
          </w:tcPr>
          <w:p w:rsidR="00E12131" w:rsidRDefault="00E12131" w:rsidP="006B4AA6">
            <w:pPr>
              <w:pStyle w:val="ListParagraph"/>
              <w:numPr>
                <w:ilvl w:val="0"/>
                <w:numId w:val="15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three reaso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ns for fatal outcomes post-rape</w:t>
            </w:r>
          </w:p>
          <w:p w:rsidR="00E12131" w:rsidRDefault="00E12131" w:rsidP="006B4AA6">
            <w:pPr>
              <w:pStyle w:val="ListParagraph"/>
              <w:numPr>
                <w:ilvl w:val="0"/>
                <w:numId w:val="15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two psychological after-effects and describe sur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vivor needs in relation to them</w:t>
            </w:r>
          </w:p>
          <w:p w:rsidR="00E12131" w:rsidRPr="00E12131" w:rsidRDefault="00E12131" w:rsidP="006B4AA6">
            <w:pPr>
              <w:pStyle w:val="ListParagraph"/>
              <w:numPr>
                <w:ilvl w:val="0"/>
                <w:numId w:val="15"/>
              </w:numPr>
              <w:spacing w:beforeLines="1" w:before="2" w:afterLines="1" w:after="2" w:line="240" w:lineRule="auto"/>
              <w:contextualSpacing w:val="0"/>
              <w:rPr>
                <w:rFonts w:ascii="Times" w:eastAsiaTheme="minorHAnsi" w:hAnsi="Times" w:cs="Times New Roman"/>
                <w:sz w:val="20"/>
                <w:szCs w:val="20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two health outcomes and describe survivor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needs</w:t>
            </w:r>
          </w:p>
          <w:p w:rsidR="00E12131" w:rsidRDefault="00E12131" w:rsidP="006B4AA6">
            <w:pPr>
              <w:pStyle w:val="ListParagraph"/>
              <w:numPr>
                <w:ilvl w:val="0"/>
                <w:numId w:val="15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four health and four psychosocial potential after-effects that most forms of GBV have in common </w:t>
            </w:r>
          </w:p>
          <w:p w:rsidR="00E12131" w:rsidRDefault="00E12131" w:rsidP="006B4AA6">
            <w:pPr>
              <w:pStyle w:val="ListParagraph"/>
              <w:numPr>
                <w:ilvl w:val="0"/>
                <w:numId w:val="15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Define “blaming the victim” and describe three ways it can resu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lt in further harm and trauma</w:t>
            </w:r>
          </w:p>
          <w:p w:rsidR="00E12131" w:rsidRDefault="00E12131" w:rsidP="006B4AA6">
            <w:pPr>
              <w:pStyle w:val="ListParagraph"/>
              <w:numPr>
                <w:ilvl w:val="0"/>
                <w:numId w:val="15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Dis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cuss the signs of rape trauma</w:t>
            </w:r>
          </w:p>
          <w:p w:rsidR="00E12131" w:rsidRPr="00E12131" w:rsidRDefault="00E12131" w:rsidP="006B4AA6">
            <w:pPr>
              <w:pStyle w:val="ListParagraph"/>
              <w:numPr>
                <w:ilvl w:val="0"/>
                <w:numId w:val="15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Describe how staff will use their understanding </w:t>
            </w:r>
            <w:proofErr w:type="gramStart"/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of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</w: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after</w:t>
            </w:r>
            <w:proofErr w:type="gramEnd"/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-effects to offer information to the survivor on available resources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2 days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Case management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and apply the steps in a case management</w: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>
              <w:instrText xml:space="preserve"> XE "</w:instrText>
            </w:r>
            <w:r w:rsidRPr="00E12131">
              <w:rPr>
                <w:rFonts w:ascii="Times New Roman" w:hAnsi="Times New Roman"/>
                <w:b/>
                <w:lang w:val="en-GB"/>
              </w:rPr>
              <w:instrText>case management</w:instrText>
            </w:r>
            <w:r>
              <w:instrText xml:space="preserve">" </w:instrTex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model when working with survivors 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the different needs of survivors and be able to undertake more holistic assessment, taking into account different needs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Identified core knowledge and skills required to work with survivors 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Define all terms used on the intake and assessment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Human rights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efine what is a “human right”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and describe five human rights relevant to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GBV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relevant human rights instruments/documents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1/2 day 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Health response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four roles/re</w:t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sponsibilit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ies of health actors for respons</w:t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e </w:t>
            </w:r>
          </w:p>
          <w:p w:rsidR="00E12131" w:rsidRPr="000F50F9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Discu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ss</w:t>
            </w: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ways to ensure involvement of and ethical services from health actors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3 days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Emotional/psychosocial response</w:t>
            </w:r>
          </w:p>
        </w:tc>
        <w:tc>
          <w:tcPr>
            <w:tcW w:w="0" w:type="auto"/>
          </w:tcPr>
          <w:p w:rsidR="00E12131" w:rsidRP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four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</w: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roles/responsibilities of psychosocial actors for response </w:t>
            </w:r>
          </w:p>
          <w:p w:rsidR="00E12131" w:rsidRPr="00250350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Describe the difference between active listening and advising </w:t>
            </w:r>
          </w:p>
          <w:p w:rsidR="00E12131" w:rsidRPr="00250350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Demonstrate emotional support and active listening through role play in three different types of GBV cases 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Define counselling and understand its purposes 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Name two of the aims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of counselling a rape survivor</w:t>
            </w:r>
          </w:p>
          <w:p w:rsidR="00E12131" w:rsidRP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Demonstrate through role play ability to interview a </w:t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GBV survivor, gather information, assess emotional status and provide emotional support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1 day 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Security &amp; justice response</w:t>
            </w:r>
          </w:p>
        </w:tc>
        <w:tc>
          <w:tcPr>
            <w:tcW w:w="0" w:type="auto"/>
          </w:tcPr>
          <w:p w:rsidR="00E12131" w:rsidRPr="000F50F9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Identify key </w:t>
            </w: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roles/responsibilities of the police in GBV response 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Demonstrate general understanding of relevant laws </w:t>
            </w:r>
          </w:p>
          <w:p w:rsidR="00E12131" w:rsidRPr="000F50F9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three survivor advocacy</w:t>
            </w: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instrText xml:space="preserve"> XE "advocacy" </w:instrText>
            </w: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  <w:r w:rsidRPr="000F50F9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needs when facing the legal justice system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Tr="006B4AA6"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1 day </w:t>
            </w:r>
          </w:p>
        </w:tc>
        <w:tc>
          <w:tcPr>
            <w:tcW w:w="0" w:type="auto"/>
          </w:tcPr>
          <w:p w:rsidR="00E12131" w:rsidRPr="00250350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IEC and behaviour change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four steps for developing IE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C materials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Describe t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he importance of targeted IEC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two methods for evaluating effects of IEC</w:t>
            </w:r>
          </w:p>
        </w:tc>
        <w:tc>
          <w:tcPr>
            <w:tcW w:w="0" w:type="auto"/>
          </w:tcPr>
          <w:p w:rsidR="00E12131" w:rsidRDefault="00E12131" w:rsidP="006B4AA6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RPr="00E12131" w:rsidTr="006B4AA6"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1 day </w:t>
            </w:r>
          </w:p>
        </w:tc>
        <w:tc>
          <w:tcPr>
            <w:tcW w:w="0" w:type="auto"/>
          </w:tcPr>
          <w:p w:rsidR="00E12131" w:rsidRPr="00E12131" w:rsidRDefault="00E12131" w:rsidP="00E12131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GBV and cash interventions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how cash interventions are part of humanitarian reforms to create a more effective GBV response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55CE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Provide examples of cash based programming within GBV responses and/or other key sectors</w:t>
            </w:r>
          </w:p>
          <w:p w:rsidR="00E12131" w:rsidRPr="00F55CE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55CE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aspects of Cash based programming that may contribute or shift the dynamics of GBV in the humanitarian context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Recommend risk </w:t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mitigation measures to consider when designing and implementing cash interventions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RPr="00E12131" w:rsidTr="006B4AA6"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1-2 days</w:t>
            </w:r>
          </w:p>
        </w:tc>
        <w:tc>
          <w:tcPr>
            <w:tcW w:w="0" w:type="auto"/>
          </w:tcPr>
          <w:p w:rsidR="00E12131" w:rsidRPr="00E12131" w:rsidRDefault="00E12131" w:rsidP="00E12131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GBV and Adolescents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tabs>
                <w:tab w:val="num" w:pos="252"/>
              </w:tabs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A50D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how GBV affects adolescents globally and in your setting, particularly adolescent girls</w:t>
            </w:r>
            <w:r w:rsidRPr="00FA50D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instrText xml:space="preserve"> XE "adolescent girls" </w:instrText>
            </w:r>
            <w:r w:rsidRPr="00FA50D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tabs>
                <w:tab w:val="num" w:pos="252"/>
              </w:tabs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A50D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challenges, capacities and benefits for engaging adolescents in GBV programming</w:t>
            </w:r>
          </w:p>
          <w:p w:rsidR="00E12131" w:rsidRPr="00FA50D2" w:rsidRDefault="00E12131" w:rsidP="00E12131">
            <w:pPr>
              <w:pStyle w:val="ListParagraph"/>
              <w:numPr>
                <w:ilvl w:val="0"/>
                <w:numId w:val="16"/>
              </w:numPr>
              <w:tabs>
                <w:tab w:val="num" w:pos="252"/>
              </w:tabs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FA50D2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how to tailor interventions to the particular needs of adolescents, particularly girls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spacing w:beforeLines="1" w:before="2" w:afterLines="1" w:after="2" w:line="240" w:lineRule="auto"/>
              <w:ind w:left="360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RPr="00E12131" w:rsidTr="006B4AA6"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1-2 days</w:t>
            </w:r>
          </w:p>
        </w:tc>
        <w:tc>
          <w:tcPr>
            <w:tcW w:w="0" w:type="auto"/>
          </w:tcPr>
          <w:p w:rsidR="00E12131" w:rsidRPr="00E12131" w:rsidRDefault="00E12131" w:rsidP="00E12131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The rights of persons with disabilities</w: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instrText xml:space="preserve"> XE "persons with disabilities" </w:instrText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and GBV interventions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how GBV affects persons with disabilities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instrText xml:space="preserve"> XE "persons with disabilities" </w:instrTex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globally and in your setting, particularly women and girls with disabilities</w:t>
            </w:r>
          </w:p>
          <w:p w:rsidR="00E12131" w:rsidRPr="00A27CE5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A27CE5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challenges, capacities and benefits for engaging persons with disabilities</w:t>
            </w:r>
            <w:r w:rsidRPr="00A27CE5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instrText xml:space="preserve"> XE "persons with disabilities" </w:instrText>
            </w:r>
            <w:r w:rsidRPr="00A27CE5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  <w:r w:rsidRPr="00A27CE5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in GBV programming and coordination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how to integrate persons with disabilities</w: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begin"/>
            </w: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instrText xml:space="preserve"> XE "persons with disabilities" </w:instrText>
            </w: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fldChar w:fldCharType="end"/>
            </w: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 xml:space="preserve"> into all phases of programme cycle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  <w:tr w:rsidR="00E12131" w:rsidRPr="00E12131" w:rsidTr="006B4AA6"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1-2 days</w:t>
            </w:r>
          </w:p>
        </w:tc>
        <w:tc>
          <w:tcPr>
            <w:tcW w:w="0" w:type="auto"/>
          </w:tcPr>
          <w:p w:rsidR="00E12131" w:rsidRPr="00E12131" w:rsidRDefault="00E12131" w:rsidP="00E12131">
            <w:p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E12131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Working with LGBTI communities to address GBV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250350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how GBV affects persons who identify as LGBT globally and in your setting.</w:t>
            </w:r>
          </w:p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tabs>
                <w:tab w:val="num" w:pos="252"/>
              </w:tabs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A27CE5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Identify protection risks, challenges, capacities and benefits for engaging LGBT community in GBV programming and coordination</w:t>
            </w:r>
          </w:p>
          <w:p w:rsidR="00E12131" w:rsidRPr="00A27CE5" w:rsidRDefault="00E12131" w:rsidP="00E12131">
            <w:pPr>
              <w:pStyle w:val="ListParagraph"/>
              <w:numPr>
                <w:ilvl w:val="0"/>
                <w:numId w:val="16"/>
              </w:numPr>
              <w:tabs>
                <w:tab w:val="num" w:pos="252"/>
              </w:tabs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  <w:r w:rsidRPr="00A27CE5"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  <w:t>Understand how to integrate LGBT considerations into all phases of programme cycle</w:t>
            </w:r>
          </w:p>
        </w:tc>
        <w:tc>
          <w:tcPr>
            <w:tcW w:w="0" w:type="auto"/>
          </w:tcPr>
          <w:p w:rsidR="00E12131" w:rsidRDefault="00E12131" w:rsidP="00E12131">
            <w:pPr>
              <w:pStyle w:val="ListParagraph"/>
              <w:numPr>
                <w:ilvl w:val="0"/>
                <w:numId w:val="16"/>
              </w:numPr>
              <w:spacing w:beforeLines="1" w:before="2" w:afterLines="1" w:after="2" w:line="240" w:lineRule="auto"/>
              <w:contextualSpacing w:val="0"/>
              <w:rPr>
                <w:rFonts w:ascii="Garamond" w:eastAsiaTheme="minorHAnsi" w:hAnsi="Garamond" w:cs="Times New Roman"/>
                <w:sz w:val="24"/>
                <w:szCs w:val="24"/>
                <w:lang w:val="en-GB"/>
              </w:rPr>
            </w:pPr>
          </w:p>
        </w:tc>
      </w:tr>
    </w:tbl>
    <w:p w:rsidR="00F462F3" w:rsidRPr="00E12131" w:rsidRDefault="00F462F3" w:rsidP="00E12131">
      <w:pPr>
        <w:pStyle w:val="ListParagraph"/>
        <w:spacing w:beforeLines="1" w:before="2" w:afterLines="1" w:after="2" w:line="240" w:lineRule="auto"/>
        <w:ind w:left="360"/>
        <w:contextualSpacing w:val="0"/>
        <w:rPr>
          <w:rFonts w:ascii="Garamond" w:eastAsiaTheme="minorHAnsi" w:hAnsi="Garamond" w:cs="Times New Roman"/>
          <w:sz w:val="24"/>
          <w:szCs w:val="24"/>
          <w:lang w:val="en-GB"/>
        </w:rPr>
      </w:pPr>
    </w:p>
    <w:sectPr w:rsidR="00F462F3" w:rsidRPr="00E12131" w:rsidSect="007117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C16"/>
    <w:multiLevelType w:val="hybridMultilevel"/>
    <w:tmpl w:val="5792F2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71111"/>
    <w:multiLevelType w:val="multilevel"/>
    <w:tmpl w:val="E99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466239"/>
    <w:multiLevelType w:val="hybridMultilevel"/>
    <w:tmpl w:val="D3B6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03A08"/>
    <w:multiLevelType w:val="hybridMultilevel"/>
    <w:tmpl w:val="0C9C24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D345E8"/>
    <w:multiLevelType w:val="multilevel"/>
    <w:tmpl w:val="39E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FB4E85"/>
    <w:multiLevelType w:val="hybridMultilevel"/>
    <w:tmpl w:val="4B42B924"/>
    <w:lvl w:ilvl="0" w:tplc="75C0D9F8">
      <w:start w:val="1"/>
      <w:numFmt w:val="bullet"/>
      <w:lvlText w:val=""/>
      <w:lvlJc w:val="left"/>
      <w:pPr>
        <w:ind w:left="52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6">
    <w:nsid w:val="31A54D28"/>
    <w:multiLevelType w:val="hybridMultilevel"/>
    <w:tmpl w:val="593CAA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0A7685"/>
    <w:multiLevelType w:val="multilevel"/>
    <w:tmpl w:val="54C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7E5C10"/>
    <w:multiLevelType w:val="multilevel"/>
    <w:tmpl w:val="218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6D10F3"/>
    <w:multiLevelType w:val="hybridMultilevel"/>
    <w:tmpl w:val="E7264F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2E38F3"/>
    <w:multiLevelType w:val="hybridMultilevel"/>
    <w:tmpl w:val="DDA817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92564D"/>
    <w:multiLevelType w:val="hybridMultilevel"/>
    <w:tmpl w:val="04DA7D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B046A8"/>
    <w:multiLevelType w:val="multilevel"/>
    <w:tmpl w:val="B9F2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275BA5"/>
    <w:multiLevelType w:val="multilevel"/>
    <w:tmpl w:val="4AEC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352753"/>
    <w:multiLevelType w:val="hybridMultilevel"/>
    <w:tmpl w:val="9AC28A5A"/>
    <w:lvl w:ilvl="0" w:tplc="75C0D9F8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502D2"/>
    <w:multiLevelType w:val="multilevel"/>
    <w:tmpl w:val="218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15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31"/>
    <w:rsid w:val="0071171B"/>
    <w:rsid w:val="00E12131"/>
    <w:rsid w:val="00F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70E6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31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12131"/>
    <w:pPr>
      <w:keepNext/>
      <w:keepLines/>
      <w:spacing w:before="360" w:after="120"/>
      <w:outlineLvl w:val="1"/>
    </w:pPr>
    <w:rPr>
      <w:rFonts w:asciiTheme="majorHAnsi" w:hAnsiTheme="majorHAnsi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131"/>
    <w:rPr>
      <w:rFonts w:asciiTheme="majorHAnsi" w:eastAsia="Arial" w:hAnsiTheme="majorHAnsi" w:cs="Arial"/>
      <w:sz w:val="32"/>
      <w:szCs w:val="32"/>
    </w:rPr>
  </w:style>
  <w:style w:type="paragraph" w:styleId="ListParagraph">
    <w:name w:val="List Paragraph"/>
    <w:aliases w:val="Colorful List - Accent 11,Bullet List,FooterText,List Paragraph1,Colorful List - Accent 1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E12131"/>
    <w:pPr>
      <w:ind w:left="720"/>
    </w:pPr>
  </w:style>
  <w:style w:type="character" w:customStyle="1" w:styleId="ListParagraphChar">
    <w:name w:val="List Paragraph Char"/>
    <w:aliases w:val="Colorful List - Accent 11 Char,Bullet List Char,FooterText Char,List Paragraph1 Char,Colorful List - Accent 111 Char,numbered Char,Paragraphe de liste1 Char,列出段落 Char,列出段落1 Char,Bulletr List Paragraph Char,List Paragraph2 Char"/>
    <w:link w:val="ListParagraph"/>
    <w:uiPriority w:val="34"/>
    <w:qFormat/>
    <w:locked/>
    <w:rsid w:val="00E12131"/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E12131"/>
    <w:pPr>
      <w:contextualSpacing/>
    </w:pPr>
    <w:rPr>
      <w:rFonts w:ascii="Arial" w:eastAsia="Arial" w:hAnsi="Arial" w:cs="Arial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31"/>
    <w:pPr>
      <w:spacing w:line="276" w:lineRule="auto"/>
      <w:contextualSpacing/>
    </w:pPr>
    <w:rPr>
      <w:rFonts w:ascii="Arial" w:eastAsia="Arial" w:hAnsi="Arial" w:cs="Arial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E12131"/>
    <w:pPr>
      <w:keepNext/>
      <w:keepLines/>
      <w:spacing w:before="360" w:after="120"/>
      <w:outlineLvl w:val="1"/>
    </w:pPr>
    <w:rPr>
      <w:rFonts w:asciiTheme="majorHAnsi" w:hAnsiTheme="majorHAnsi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131"/>
    <w:rPr>
      <w:rFonts w:asciiTheme="majorHAnsi" w:eastAsia="Arial" w:hAnsiTheme="majorHAnsi" w:cs="Arial"/>
      <w:sz w:val="32"/>
      <w:szCs w:val="32"/>
    </w:rPr>
  </w:style>
  <w:style w:type="paragraph" w:styleId="ListParagraph">
    <w:name w:val="List Paragraph"/>
    <w:aliases w:val="Colorful List - Accent 11,Bullet List,FooterText,List Paragraph1,Colorful List - Accent 1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E12131"/>
    <w:pPr>
      <w:ind w:left="720"/>
    </w:pPr>
  </w:style>
  <w:style w:type="character" w:customStyle="1" w:styleId="ListParagraphChar">
    <w:name w:val="List Paragraph Char"/>
    <w:aliases w:val="Colorful List - Accent 11 Char,Bullet List Char,FooterText Char,List Paragraph1 Char,Colorful List - Accent 111 Char,numbered Char,Paragraphe de liste1 Char,列出段落 Char,列出段落1 Char,Bulletr List Paragraph Char,List Paragraph2 Char"/>
    <w:link w:val="ListParagraph"/>
    <w:uiPriority w:val="34"/>
    <w:qFormat/>
    <w:locked/>
    <w:rsid w:val="00E12131"/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E12131"/>
    <w:pPr>
      <w:contextualSpacing/>
    </w:pPr>
    <w:rPr>
      <w:rFonts w:ascii="Arial" w:eastAsia="Arial" w:hAnsi="Arial" w:cs="Arial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1122</Words>
  <Characters>6397</Characters>
  <Application>Microsoft Macintosh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Ruehl</dc:creator>
  <cp:keywords/>
  <dc:description/>
  <cp:lastModifiedBy>Stefanie Ruehl</cp:lastModifiedBy>
  <cp:revision>1</cp:revision>
  <dcterms:created xsi:type="dcterms:W3CDTF">2019-06-25T07:40:00Z</dcterms:created>
  <dcterms:modified xsi:type="dcterms:W3CDTF">2019-06-25T08:19:00Z</dcterms:modified>
</cp:coreProperties>
</file>