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8CDBDC" w14:textId="36EB1B2E" w:rsidR="00354F50" w:rsidRPr="00986EA4" w:rsidRDefault="00B45A0D" w:rsidP="00B54B16">
      <w:pPr>
        <w:pStyle w:val="Geenafstand"/>
        <w:numPr>
          <w:ilvl w:val="0"/>
          <w:numId w:val="21"/>
        </w:numPr>
        <w:jc w:val="both"/>
        <w:rPr>
          <w:rFonts w:ascii="Tw Cen MT" w:hAnsi="Tw Cen MT" w:cs="Arial"/>
          <w:i/>
          <w:sz w:val="28"/>
          <w:u w:val="single"/>
          <w:lang w:val="en-US"/>
        </w:rPr>
      </w:pPr>
      <w:bookmarkStart w:id="0" w:name="_GoBack"/>
      <w:bookmarkEnd w:id="0"/>
      <w:r w:rsidRPr="00986EA4">
        <w:rPr>
          <w:rFonts w:ascii="Tw Cen MT" w:hAnsi="Tw Cen MT" w:cs="Arial"/>
          <w:i/>
          <w:sz w:val="28"/>
          <w:u w:val="single"/>
          <w:lang w:val="en-US"/>
        </w:rPr>
        <w:t>W</w:t>
      </w:r>
      <w:r w:rsidR="00354F50" w:rsidRPr="00986EA4">
        <w:rPr>
          <w:rFonts w:ascii="Tw Cen MT" w:hAnsi="Tw Cen MT" w:cs="Arial"/>
          <w:i/>
          <w:sz w:val="28"/>
          <w:u w:val="single"/>
          <w:lang w:val="en-US"/>
        </w:rPr>
        <w:t xml:space="preserve">hat is </w:t>
      </w:r>
      <w:r w:rsidR="0001540A" w:rsidRPr="00986EA4">
        <w:rPr>
          <w:rFonts w:ascii="Tw Cen MT" w:hAnsi="Tw Cen MT" w:cs="Arial"/>
          <w:i/>
          <w:sz w:val="28"/>
          <w:u w:val="single"/>
          <w:lang w:val="en-US"/>
        </w:rPr>
        <w:t>the Displacement Tracking Matrix?</w:t>
      </w:r>
    </w:p>
    <w:p w14:paraId="7CDB8FAA" w14:textId="26E05510" w:rsidR="00354F50" w:rsidRPr="008F0328" w:rsidRDefault="00354F50" w:rsidP="0001540A">
      <w:pPr>
        <w:pStyle w:val="Geenafstand"/>
        <w:jc w:val="both"/>
        <w:rPr>
          <w:rFonts w:ascii="Tw Cen MT" w:hAnsi="Tw Cen MT" w:cstheme="majorHAnsi"/>
          <w:sz w:val="20"/>
          <w:szCs w:val="20"/>
          <w:lang w:val="en-US"/>
        </w:rPr>
      </w:pPr>
      <w:r w:rsidRPr="008F0328">
        <w:rPr>
          <w:rFonts w:ascii="Tw Cen MT" w:hAnsi="Tw Cen MT" w:cstheme="majorHAnsi"/>
          <w:sz w:val="20"/>
          <w:szCs w:val="20"/>
          <w:lang w:val="en-US"/>
        </w:rPr>
        <w:t>The displacement tracking matrix (DTM), is a</w:t>
      </w:r>
      <w:r w:rsidR="0035746E">
        <w:rPr>
          <w:rFonts w:ascii="Tw Cen MT" w:hAnsi="Tw Cen MT" w:cstheme="majorHAnsi"/>
          <w:sz w:val="20"/>
          <w:szCs w:val="20"/>
          <w:lang w:val="en-US"/>
        </w:rPr>
        <w:t xml:space="preserve"> set of</w:t>
      </w:r>
      <w:r w:rsidRPr="008F0328">
        <w:rPr>
          <w:rFonts w:ascii="Tw Cen MT" w:hAnsi="Tw Cen MT" w:cstheme="majorHAnsi"/>
          <w:sz w:val="20"/>
          <w:szCs w:val="20"/>
          <w:lang w:val="en-US"/>
        </w:rPr>
        <w:t xml:space="preserve"> assessment </w:t>
      </w:r>
      <w:r w:rsidR="0035746E">
        <w:rPr>
          <w:rFonts w:ascii="Tw Cen MT" w:hAnsi="Tw Cen MT" w:cstheme="majorHAnsi"/>
          <w:sz w:val="20"/>
          <w:szCs w:val="20"/>
          <w:lang w:val="en-US"/>
        </w:rPr>
        <w:t xml:space="preserve">and population movement tracking </w:t>
      </w:r>
      <w:r w:rsidRPr="008F0328">
        <w:rPr>
          <w:rFonts w:ascii="Tw Cen MT" w:hAnsi="Tw Cen MT" w:cstheme="majorHAnsi"/>
          <w:sz w:val="20"/>
          <w:szCs w:val="20"/>
          <w:lang w:val="en-US"/>
        </w:rPr>
        <w:t>tool</w:t>
      </w:r>
      <w:r w:rsidR="0035746E">
        <w:rPr>
          <w:rFonts w:ascii="Tw Cen MT" w:hAnsi="Tw Cen MT" w:cstheme="majorHAnsi"/>
          <w:sz w:val="20"/>
          <w:szCs w:val="20"/>
          <w:lang w:val="en-US"/>
        </w:rPr>
        <w:t>s</w:t>
      </w:r>
      <w:r w:rsidRPr="008F0328">
        <w:rPr>
          <w:rFonts w:ascii="Tw Cen MT" w:hAnsi="Tw Cen MT" w:cstheme="majorHAnsi"/>
          <w:sz w:val="20"/>
          <w:szCs w:val="20"/>
          <w:lang w:val="en-US"/>
        </w:rPr>
        <w:t xml:space="preserve"> developed by IOM. </w:t>
      </w:r>
      <w:r w:rsidR="0035746E">
        <w:rPr>
          <w:rFonts w:ascii="Tw Cen MT" w:hAnsi="Tw Cen MT" w:cstheme="majorHAnsi"/>
          <w:sz w:val="20"/>
          <w:szCs w:val="20"/>
          <w:lang w:val="en-US"/>
        </w:rPr>
        <w:t xml:space="preserve">Some of the tools </w:t>
      </w:r>
      <w:r w:rsidRPr="008F0328">
        <w:rPr>
          <w:rFonts w:ascii="Tw Cen MT" w:hAnsi="Tw Cen MT" w:cstheme="majorHAnsi"/>
          <w:sz w:val="20"/>
          <w:szCs w:val="20"/>
          <w:lang w:val="en-US"/>
        </w:rPr>
        <w:t xml:space="preserve"> that can be implemented in a displacement context</w:t>
      </w:r>
      <w:r w:rsidR="0035746E">
        <w:rPr>
          <w:rFonts w:ascii="Tw Cen MT" w:hAnsi="Tw Cen MT" w:cstheme="majorHAnsi"/>
          <w:sz w:val="20"/>
          <w:szCs w:val="20"/>
          <w:lang w:val="en-US"/>
        </w:rPr>
        <w:t xml:space="preserve"> are</w:t>
      </w:r>
      <w:r w:rsidRPr="008F0328">
        <w:rPr>
          <w:rFonts w:ascii="Tw Cen MT" w:hAnsi="Tw Cen MT" w:cstheme="majorHAnsi"/>
          <w:sz w:val="20"/>
          <w:szCs w:val="20"/>
          <w:lang w:val="en-US"/>
        </w:rPr>
        <w:t xml:space="preserve"> mobility tracking, flow monitoring,</w:t>
      </w:r>
      <w:r w:rsidR="0001540A" w:rsidRPr="008F0328">
        <w:rPr>
          <w:rFonts w:ascii="Tw Cen MT" w:hAnsi="Tw Cen MT" w:cstheme="majorHAnsi"/>
          <w:sz w:val="20"/>
          <w:szCs w:val="20"/>
          <w:lang w:val="en-US"/>
        </w:rPr>
        <w:t xml:space="preserve"> surveys, and registration. Capturing a population’s mobility, flows, and needs, provides useful information that can aid decision</w:t>
      </w:r>
      <w:r w:rsidR="00BF5954">
        <w:rPr>
          <w:rFonts w:ascii="Tw Cen MT" w:hAnsi="Tw Cen MT" w:cstheme="majorHAnsi"/>
          <w:sz w:val="20"/>
          <w:szCs w:val="20"/>
          <w:lang w:val="en-US"/>
        </w:rPr>
        <w:t>-</w:t>
      </w:r>
      <w:r w:rsidR="0001540A" w:rsidRPr="008F0328">
        <w:rPr>
          <w:rFonts w:ascii="Tw Cen MT" w:hAnsi="Tw Cen MT" w:cstheme="majorHAnsi"/>
          <w:sz w:val="20"/>
          <w:szCs w:val="20"/>
          <w:lang w:val="en-US"/>
        </w:rPr>
        <w:t>makers.</w:t>
      </w:r>
      <w:r w:rsidR="0035746E">
        <w:rPr>
          <w:rFonts w:ascii="Tw Cen MT" w:hAnsi="Tw Cen MT" w:cstheme="majorHAnsi"/>
          <w:sz w:val="20"/>
          <w:szCs w:val="20"/>
          <w:lang w:val="en-US"/>
        </w:rPr>
        <w:t xml:space="preserve"> This guidance refers specifically to the DTM Multisectoral Location Assessment.</w:t>
      </w:r>
    </w:p>
    <w:p w14:paraId="0E2359A2" w14:textId="77777777" w:rsidR="0001540A" w:rsidRDefault="0001540A" w:rsidP="0001540A">
      <w:pPr>
        <w:pStyle w:val="Geenafstand"/>
        <w:jc w:val="both"/>
        <w:rPr>
          <w:rFonts w:asciiTheme="majorHAnsi" w:hAnsiTheme="majorHAnsi" w:cstheme="majorHAnsi"/>
          <w:sz w:val="20"/>
          <w:szCs w:val="20"/>
          <w:lang w:val="en-US"/>
        </w:rPr>
      </w:pPr>
    </w:p>
    <w:p w14:paraId="7D324C7A" w14:textId="56A59FC2" w:rsidR="0001540A" w:rsidRPr="003F6DE3" w:rsidRDefault="0001540A" w:rsidP="0001540A">
      <w:pPr>
        <w:pStyle w:val="Geenafstand"/>
        <w:jc w:val="both"/>
        <w:rPr>
          <w:rFonts w:ascii="Tw Cen MT" w:hAnsi="Tw Cen MT" w:cstheme="majorHAnsi"/>
          <w:szCs w:val="20"/>
          <w:lang w:val="en-US"/>
        </w:rPr>
      </w:pPr>
      <w:r w:rsidRPr="003F6DE3">
        <w:rPr>
          <w:rFonts w:ascii="Tw Cen MT" w:hAnsi="Tw Cen MT" w:cs="Arial"/>
          <w:sz w:val="24"/>
          <w:lang w:val="en-US"/>
        </w:rPr>
        <w:t xml:space="preserve">The </w:t>
      </w:r>
      <w:r w:rsidR="00A17E5F" w:rsidRPr="003F6DE3">
        <w:rPr>
          <w:rFonts w:ascii="Tw Cen MT" w:hAnsi="Tw Cen MT" w:cs="Arial"/>
          <w:sz w:val="24"/>
          <w:lang w:val="en-US"/>
        </w:rPr>
        <w:t>multisectoral location assessment</w:t>
      </w:r>
    </w:p>
    <w:p w14:paraId="0DACE01B" w14:textId="347CBDC3" w:rsidR="00235660" w:rsidRPr="008F0328" w:rsidRDefault="0001540A" w:rsidP="0001540A">
      <w:pPr>
        <w:pStyle w:val="Geenafstand"/>
        <w:jc w:val="both"/>
        <w:rPr>
          <w:rFonts w:ascii="Tw Cen MT" w:hAnsi="Tw Cen MT" w:cstheme="majorHAnsi"/>
          <w:sz w:val="20"/>
          <w:szCs w:val="20"/>
          <w:lang w:val="en-US"/>
        </w:rPr>
      </w:pPr>
      <w:r w:rsidRPr="008F0328">
        <w:rPr>
          <w:rFonts w:ascii="Tw Cen MT" w:hAnsi="Tw Cen MT" w:cstheme="majorHAnsi"/>
          <w:sz w:val="20"/>
          <w:szCs w:val="20"/>
          <w:lang w:val="en-US"/>
        </w:rPr>
        <w:t xml:space="preserve">The </w:t>
      </w:r>
      <w:r w:rsidR="009F34B2">
        <w:rPr>
          <w:rFonts w:ascii="Tw Cen MT" w:hAnsi="Tw Cen MT" w:cstheme="majorHAnsi"/>
          <w:sz w:val="20"/>
          <w:szCs w:val="20"/>
          <w:lang w:val="en-US"/>
        </w:rPr>
        <w:t>multisectoral location</w:t>
      </w:r>
      <w:r w:rsidRPr="008F0328">
        <w:rPr>
          <w:rFonts w:ascii="Tw Cen MT" w:hAnsi="Tw Cen MT" w:cstheme="majorHAnsi"/>
          <w:sz w:val="20"/>
          <w:szCs w:val="20"/>
          <w:lang w:val="en-US"/>
        </w:rPr>
        <w:t xml:space="preserve"> assessment is</w:t>
      </w:r>
      <w:r w:rsidR="0035746E">
        <w:rPr>
          <w:rFonts w:ascii="Tw Cen MT" w:hAnsi="Tw Cen MT" w:cstheme="majorHAnsi"/>
          <w:sz w:val="20"/>
          <w:szCs w:val="20"/>
          <w:lang w:val="en-US"/>
        </w:rPr>
        <w:t xml:space="preserve"> one of the various DTM tools</w:t>
      </w:r>
      <w:r w:rsidRPr="008F0328">
        <w:rPr>
          <w:rFonts w:ascii="Tw Cen MT" w:hAnsi="Tw Cen MT" w:cstheme="majorHAnsi"/>
          <w:sz w:val="20"/>
          <w:szCs w:val="20"/>
          <w:lang w:val="en-US"/>
        </w:rPr>
        <w:t xml:space="preserve"> a</w:t>
      </w:r>
      <w:r w:rsidR="009F34B2">
        <w:rPr>
          <w:rFonts w:ascii="Tw Cen MT" w:hAnsi="Tw Cen MT" w:cstheme="majorHAnsi"/>
          <w:sz w:val="20"/>
          <w:szCs w:val="20"/>
          <w:lang w:val="en-US"/>
        </w:rPr>
        <w:t xml:space="preserve">nd consists of a </w:t>
      </w:r>
      <w:r w:rsidRPr="008F0328">
        <w:rPr>
          <w:rFonts w:ascii="Tw Cen MT" w:hAnsi="Tw Cen MT" w:cstheme="majorHAnsi"/>
          <w:sz w:val="20"/>
          <w:szCs w:val="20"/>
          <w:lang w:val="en-US"/>
        </w:rPr>
        <w:t>questionnaire that aims to capture the needs of the affected population.</w:t>
      </w:r>
      <w:r w:rsidR="00235660" w:rsidRPr="008F0328">
        <w:rPr>
          <w:rFonts w:ascii="Tw Cen MT" w:hAnsi="Tw Cen MT" w:cstheme="majorHAnsi"/>
          <w:sz w:val="20"/>
          <w:szCs w:val="20"/>
          <w:lang w:val="en-US"/>
        </w:rPr>
        <w:t xml:space="preserve"> The DTM is a rapid tool, meaning results come out quick</w:t>
      </w:r>
      <w:r w:rsidR="00BF5954">
        <w:rPr>
          <w:rFonts w:ascii="Tw Cen MT" w:hAnsi="Tw Cen MT" w:cstheme="majorHAnsi"/>
          <w:sz w:val="20"/>
          <w:szCs w:val="20"/>
          <w:lang w:val="en-US"/>
        </w:rPr>
        <w:t>ly</w:t>
      </w:r>
      <w:r w:rsidR="00235660" w:rsidRPr="008F0328">
        <w:rPr>
          <w:rFonts w:ascii="Tw Cen MT" w:hAnsi="Tw Cen MT" w:cstheme="majorHAnsi"/>
          <w:sz w:val="20"/>
          <w:szCs w:val="20"/>
          <w:lang w:val="en-US"/>
        </w:rPr>
        <w:t xml:space="preserve">. In addition, it is </w:t>
      </w:r>
      <w:r w:rsidR="00BF5954">
        <w:rPr>
          <w:rFonts w:ascii="Tw Cen MT" w:hAnsi="Tw Cen MT" w:cstheme="majorHAnsi"/>
          <w:sz w:val="20"/>
          <w:szCs w:val="20"/>
          <w:lang w:val="en-US"/>
        </w:rPr>
        <w:t>implemented</w:t>
      </w:r>
      <w:r w:rsidR="00BF5954" w:rsidRPr="008F0328">
        <w:rPr>
          <w:rFonts w:ascii="Tw Cen MT" w:hAnsi="Tw Cen MT" w:cstheme="majorHAnsi"/>
          <w:sz w:val="20"/>
          <w:szCs w:val="20"/>
          <w:lang w:val="en-US"/>
        </w:rPr>
        <w:t xml:space="preserve"> </w:t>
      </w:r>
      <w:r w:rsidR="00235660" w:rsidRPr="008F0328">
        <w:rPr>
          <w:rFonts w:ascii="Tw Cen MT" w:hAnsi="Tw Cen MT" w:cstheme="majorHAnsi"/>
          <w:sz w:val="20"/>
          <w:szCs w:val="20"/>
          <w:lang w:val="en-US"/>
        </w:rPr>
        <w:t xml:space="preserve">frequently, sometimes even on a monthly basis. This means you can monitor the data overtime to look for changes, and can rely on regular data collection. However, </w:t>
      </w:r>
      <w:r w:rsidR="00235660" w:rsidRPr="008F0328">
        <w:rPr>
          <w:rFonts w:ascii="Tw Cen MT" w:hAnsi="Tw Cen MT" w:cstheme="majorHAnsi"/>
          <w:b/>
          <w:sz w:val="20"/>
          <w:szCs w:val="20"/>
          <w:lang w:val="en-US"/>
        </w:rPr>
        <w:t xml:space="preserve">the </w:t>
      </w:r>
      <w:r w:rsidR="009F34B2">
        <w:rPr>
          <w:rFonts w:ascii="Tw Cen MT" w:hAnsi="Tw Cen MT" w:cstheme="majorHAnsi"/>
          <w:b/>
          <w:sz w:val="20"/>
          <w:szCs w:val="20"/>
          <w:lang w:val="en-US"/>
        </w:rPr>
        <w:t>multisectoral location assessment</w:t>
      </w:r>
      <w:r w:rsidR="009F34B2" w:rsidRPr="008F0328">
        <w:rPr>
          <w:rFonts w:ascii="Tw Cen MT" w:hAnsi="Tw Cen MT" w:cstheme="majorHAnsi"/>
          <w:b/>
          <w:sz w:val="20"/>
          <w:szCs w:val="20"/>
          <w:lang w:val="en-US"/>
        </w:rPr>
        <w:t xml:space="preserve"> </w:t>
      </w:r>
      <w:r w:rsidR="00235660" w:rsidRPr="008F0328">
        <w:rPr>
          <w:rFonts w:ascii="Tw Cen MT" w:hAnsi="Tw Cen MT" w:cstheme="majorHAnsi"/>
          <w:b/>
          <w:sz w:val="20"/>
          <w:szCs w:val="20"/>
          <w:lang w:val="en-US"/>
        </w:rPr>
        <w:t xml:space="preserve">is not </w:t>
      </w:r>
      <w:r w:rsidR="002552E7">
        <w:rPr>
          <w:rFonts w:ascii="Tw Cen MT" w:hAnsi="Tw Cen MT" w:cstheme="majorHAnsi"/>
          <w:b/>
          <w:sz w:val="20"/>
          <w:szCs w:val="20"/>
          <w:lang w:val="en-US"/>
        </w:rPr>
        <w:t xml:space="preserve">sufficient as </w:t>
      </w:r>
      <w:r w:rsidR="00235660" w:rsidRPr="008F0328">
        <w:rPr>
          <w:rFonts w:ascii="Tw Cen MT" w:hAnsi="Tw Cen MT" w:cstheme="majorHAnsi"/>
          <w:b/>
          <w:sz w:val="20"/>
          <w:szCs w:val="20"/>
          <w:lang w:val="en-US"/>
        </w:rPr>
        <w:t xml:space="preserve">a standalone assessment and should </w:t>
      </w:r>
      <w:r w:rsidR="00BF5954">
        <w:rPr>
          <w:rFonts w:ascii="Tw Cen MT" w:hAnsi="Tw Cen MT" w:cstheme="majorHAnsi"/>
          <w:b/>
          <w:sz w:val="20"/>
          <w:szCs w:val="20"/>
          <w:lang w:val="en-US"/>
        </w:rPr>
        <w:t>not</w:t>
      </w:r>
      <w:r w:rsidR="00BF5954" w:rsidRPr="008F0328">
        <w:rPr>
          <w:rFonts w:ascii="Tw Cen MT" w:hAnsi="Tw Cen MT" w:cstheme="majorHAnsi"/>
          <w:b/>
          <w:sz w:val="20"/>
          <w:szCs w:val="20"/>
          <w:lang w:val="en-US"/>
        </w:rPr>
        <w:t xml:space="preserve"> </w:t>
      </w:r>
      <w:r w:rsidR="00235660" w:rsidRPr="008F0328">
        <w:rPr>
          <w:rFonts w:ascii="Tw Cen MT" w:hAnsi="Tw Cen MT" w:cstheme="majorHAnsi"/>
          <w:b/>
          <w:sz w:val="20"/>
          <w:szCs w:val="20"/>
          <w:lang w:val="en-US"/>
        </w:rPr>
        <w:t xml:space="preserve">be treated as the ONLY tool for GBV data collection. </w:t>
      </w:r>
    </w:p>
    <w:p w14:paraId="3C1E21FB" w14:textId="35A5D2FC" w:rsidR="00235660" w:rsidRDefault="006072C8" w:rsidP="0001540A">
      <w:pPr>
        <w:pStyle w:val="Geenafstand"/>
        <w:jc w:val="both"/>
        <w:rPr>
          <w:rFonts w:asciiTheme="majorHAnsi" w:hAnsiTheme="majorHAnsi" w:cstheme="majorHAnsi"/>
          <w:b/>
          <w:sz w:val="20"/>
          <w:szCs w:val="20"/>
          <w:lang w:val="en-US"/>
        </w:rPr>
      </w:pPr>
      <w:r>
        <w:rPr>
          <w:rFonts w:ascii="Arial" w:hAnsi="Arial" w:cs="Arial"/>
          <w:noProof/>
          <w:lang w:val="en-US"/>
        </w:rPr>
        <mc:AlternateContent>
          <mc:Choice Requires="wps">
            <w:drawing>
              <wp:anchor distT="0" distB="0" distL="114300" distR="114300" simplePos="0" relativeHeight="251665408" behindDoc="0" locked="0" layoutInCell="1" allowOverlap="1" wp14:anchorId="7AE56439" wp14:editId="7C1F6251">
                <wp:simplePos x="0" y="0"/>
                <wp:positionH relativeFrom="margin">
                  <wp:align>right</wp:align>
                </wp:positionH>
                <wp:positionV relativeFrom="paragraph">
                  <wp:posOffset>159385</wp:posOffset>
                </wp:positionV>
                <wp:extent cx="5753100" cy="1409700"/>
                <wp:effectExtent l="0" t="0" r="19050" b="19050"/>
                <wp:wrapNone/>
                <wp:docPr id="7" name="Tekstvak 7"/>
                <wp:cNvGraphicFramePr/>
                <a:graphic xmlns:a="http://schemas.openxmlformats.org/drawingml/2006/main">
                  <a:graphicData uri="http://schemas.microsoft.com/office/word/2010/wordprocessingShape">
                    <wps:wsp>
                      <wps:cNvSpPr txBox="1"/>
                      <wps:spPr>
                        <a:xfrm>
                          <a:off x="0" y="0"/>
                          <a:ext cx="5753100" cy="1409700"/>
                        </a:xfrm>
                        <a:prstGeom prst="rect">
                          <a:avLst/>
                        </a:prstGeom>
                        <a:solidFill>
                          <a:schemeClr val="bg2"/>
                        </a:solidFill>
                        <a:ln w="6350">
                          <a:solidFill>
                            <a:schemeClr val="bg2"/>
                          </a:solidFill>
                        </a:ln>
                      </wps:spPr>
                      <wps:txbx>
                        <w:txbxContent>
                          <w:p w14:paraId="01B519F7" w14:textId="77777777" w:rsidR="003F6DE3" w:rsidRPr="00B54B16" w:rsidRDefault="003F6DE3" w:rsidP="00235660">
                            <w:pPr>
                              <w:pStyle w:val="Geenafstand"/>
                              <w:jc w:val="both"/>
                              <w:rPr>
                                <w:rFonts w:ascii="Tw Cen MT" w:hAnsi="Tw Cen MT" w:cstheme="majorHAnsi"/>
                                <w:i/>
                                <w:sz w:val="24"/>
                                <w:szCs w:val="20"/>
                                <w:lang w:val="en-US"/>
                              </w:rPr>
                            </w:pPr>
                            <w:r w:rsidRPr="00B54B16">
                              <w:rPr>
                                <w:rFonts w:ascii="Tw Cen MT" w:hAnsi="Tw Cen MT" w:cstheme="majorHAnsi"/>
                                <w:i/>
                                <w:sz w:val="24"/>
                                <w:szCs w:val="20"/>
                                <w:lang w:val="en-US"/>
                              </w:rPr>
                              <w:t xml:space="preserve">What do I use DTM for? </w:t>
                            </w:r>
                          </w:p>
                          <w:p w14:paraId="501C7EFF" w14:textId="3088B982" w:rsidR="00235660" w:rsidRPr="00CB5782" w:rsidRDefault="00235660" w:rsidP="00235660">
                            <w:pPr>
                              <w:pStyle w:val="Geenafstand"/>
                              <w:jc w:val="both"/>
                              <w:rPr>
                                <w:rFonts w:ascii="Tw Cen MT" w:hAnsi="Tw Cen MT" w:cstheme="majorHAnsi"/>
                                <w:sz w:val="20"/>
                                <w:szCs w:val="20"/>
                                <w:lang w:val="en-US"/>
                              </w:rPr>
                            </w:pPr>
                            <w:r w:rsidRPr="00CB5782">
                              <w:rPr>
                                <w:rFonts w:ascii="Tw Cen MT" w:hAnsi="Tw Cen MT" w:cstheme="majorHAnsi"/>
                                <w:sz w:val="20"/>
                                <w:szCs w:val="20"/>
                                <w:lang w:val="en-US"/>
                              </w:rPr>
                              <w:t xml:space="preserve">The DTM is a </w:t>
                            </w:r>
                            <w:r w:rsidRPr="00CB5782">
                              <w:rPr>
                                <w:rFonts w:ascii="Tw Cen MT" w:hAnsi="Tw Cen MT" w:cstheme="majorHAnsi"/>
                                <w:i/>
                                <w:sz w:val="20"/>
                                <w:szCs w:val="20"/>
                                <w:lang w:val="en-US"/>
                              </w:rPr>
                              <w:t xml:space="preserve">quick </w:t>
                            </w:r>
                            <w:r w:rsidRPr="00CB5782">
                              <w:rPr>
                                <w:rFonts w:ascii="Tw Cen MT" w:hAnsi="Tw Cen MT" w:cstheme="majorHAnsi"/>
                                <w:sz w:val="20"/>
                                <w:szCs w:val="20"/>
                                <w:lang w:val="en-US"/>
                              </w:rPr>
                              <w:t>multisectoral needs assessment that is done on a regular basis</w:t>
                            </w:r>
                            <w:r w:rsidRPr="009F34B2">
                              <w:rPr>
                                <w:rFonts w:ascii="Tw Cen MT" w:hAnsi="Tw Cen MT" w:cstheme="majorHAnsi"/>
                                <w:sz w:val="20"/>
                                <w:szCs w:val="20"/>
                                <w:lang w:val="en-US"/>
                              </w:rPr>
                              <w:t>. Data from the DTM should be used as an</w:t>
                            </w:r>
                            <w:r w:rsidRPr="00CB5782">
                              <w:rPr>
                                <w:rFonts w:ascii="Tw Cen MT" w:hAnsi="Tw Cen MT" w:cstheme="majorHAnsi"/>
                                <w:sz w:val="20"/>
                                <w:szCs w:val="20"/>
                                <w:lang w:val="en-US"/>
                              </w:rPr>
                              <w:t xml:space="preserve"> </w:t>
                            </w:r>
                            <w:r w:rsidRPr="00CB5782">
                              <w:rPr>
                                <w:rFonts w:ascii="Tw Cen MT" w:hAnsi="Tw Cen MT" w:cstheme="majorHAnsi"/>
                                <w:b/>
                                <w:sz w:val="20"/>
                                <w:szCs w:val="20"/>
                                <w:lang w:val="en-US"/>
                              </w:rPr>
                              <w:t xml:space="preserve">indication on possible </w:t>
                            </w:r>
                            <w:r w:rsidR="00BF5954">
                              <w:rPr>
                                <w:rFonts w:ascii="Tw Cen MT" w:hAnsi="Tw Cen MT" w:cstheme="majorHAnsi"/>
                                <w:b/>
                                <w:sz w:val="20"/>
                                <w:szCs w:val="20"/>
                                <w:lang w:val="en-US"/>
                              </w:rPr>
                              <w:t>gaps in GBV services</w:t>
                            </w:r>
                            <w:r w:rsidR="002552E7">
                              <w:rPr>
                                <w:rFonts w:ascii="Tw Cen MT" w:hAnsi="Tw Cen MT" w:cstheme="majorHAnsi"/>
                                <w:b/>
                                <w:sz w:val="20"/>
                                <w:szCs w:val="20"/>
                                <w:lang w:val="en-US"/>
                              </w:rPr>
                              <w:t>,</w:t>
                            </w:r>
                            <w:r w:rsidRPr="00CB5782">
                              <w:rPr>
                                <w:rFonts w:ascii="Tw Cen MT" w:hAnsi="Tw Cen MT" w:cstheme="majorHAnsi"/>
                                <w:b/>
                                <w:sz w:val="20"/>
                                <w:szCs w:val="20"/>
                                <w:lang w:val="en-US"/>
                              </w:rPr>
                              <w:t xml:space="preserve"> and</w:t>
                            </w:r>
                            <w:r w:rsidR="009F34B2">
                              <w:rPr>
                                <w:rFonts w:ascii="Tw Cen MT" w:hAnsi="Tw Cen MT" w:cstheme="majorHAnsi"/>
                                <w:b/>
                                <w:sz w:val="20"/>
                                <w:szCs w:val="20"/>
                                <w:lang w:val="en-US"/>
                              </w:rPr>
                              <w:t xml:space="preserve"> possible</w:t>
                            </w:r>
                            <w:r w:rsidRPr="00CB5782">
                              <w:rPr>
                                <w:rFonts w:ascii="Tw Cen MT" w:hAnsi="Tw Cen MT" w:cstheme="majorHAnsi"/>
                                <w:b/>
                                <w:sz w:val="20"/>
                                <w:szCs w:val="20"/>
                                <w:lang w:val="en-US"/>
                              </w:rPr>
                              <w:t xml:space="preserve"> GBV risks.</w:t>
                            </w:r>
                            <w:r w:rsidRPr="00CB5782">
                              <w:rPr>
                                <w:rFonts w:ascii="Tw Cen MT" w:hAnsi="Tw Cen MT" w:cstheme="majorHAnsi"/>
                                <w:sz w:val="20"/>
                                <w:szCs w:val="20"/>
                                <w:lang w:val="en-US"/>
                              </w:rPr>
                              <w:t xml:space="preserve"> The DTM should be analyzed to look at trends that emerge from the data, and what protection needs and GBV risks come up. In order to create a complete picture, </w:t>
                            </w:r>
                            <w:r w:rsidR="00D308D2" w:rsidRPr="003F6DE3">
                              <w:rPr>
                                <w:rFonts w:ascii="Tw Cen MT" w:hAnsi="Tw Cen MT" w:cstheme="majorHAnsi"/>
                                <w:sz w:val="20"/>
                                <w:szCs w:val="20"/>
                                <w:lang w:val="en-US"/>
                              </w:rPr>
                              <w:t xml:space="preserve">other GBV information or </w:t>
                            </w:r>
                            <w:r w:rsidRPr="003F6DE3">
                              <w:rPr>
                                <w:rFonts w:ascii="Tw Cen MT" w:hAnsi="Tw Cen MT" w:cstheme="majorHAnsi"/>
                                <w:sz w:val="20"/>
                                <w:szCs w:val="20"/>
                                <w:lang w:val="en-US"/>
                              </w:rPr>
                              <w:t>specialized GBV assessments (e.g. Focus Group Discussions, Safety Audits, etc.)</w:t>
                            </w:r>
                            <w:r w:rsidRPr="00CB5782">
                              <w:rPr>
                                <w:rFonts w:ascii="Tw Cen MT" w:hAnsi="Tw Cen MT" w:cstheme="majorHAnsi"/>
                                <w:b/>
                                <w:sz w:val="20"/>
                                <w:szCs w:val="20"/>
                                <w:lang w:val="en-US"/>
                              </w:rPr>
                              <w:t xml:space="preserve"> </w:t>
                            </w:r>
                            <w:r w:rsidR="00D308D2">
                              <w:rPr>
                                <w:rFonts w:ascii="Tw Cen MT" w:hAnsi="Tw Cen MT" w:cstheme="majorHAnsi"/>
                                <w:sz w:val="20"/>
                                <w:szCs w:val="20"/>
                                <w:lang w:val="en-US"/>
                              </w:rPr>
                              <w:t>need to be looked at to complement</w:t>
                            </w:r>
                            <w:r w:rsidR="002552E7">
                              <w:rPr>
                                <w:rFonts w:ascii="Tw Cen MT" w:hAnsi="Tw Cen MT" w:cstheme="majorHAnsi"/>
                                <w:sz w:val="20"/>
                                <w:szCs w:val="20"/>
                                <w:lang w:val="en-US"/>
                              </w:rPr>
                              <w:t xml:space="preserve"> this information</w:t>
                            </w:r>
                            <w:r w:rsidR="00D308D2">
                              <w:rPr>
                                <w:rFonts w:ascii="Tw Cen MT" w:hAnsi="Tw Cen MT" w:cstheme="majorHAnsi"/>
                                <w:sz w:val="20"/>
                                <w:szCs w:val="20"/>
                                <w:lang w:val="en-US"/>
                              </w:rPr>
                              <w:t>.</w:t>
                            </w:r>
                            <w:r w:rsidRPr="00CB5782">
                              <w:rPr>
                                <w:rFonts w:ascii="Tw Cen MT" w:hAnsi="Tw Cen MT" w:cstheme="majorHAnsi"/>
                                <w:b/>
                                <w:sz w:val="20"/>
                                <w:szCs w:val="20"/>
                                <w:lang w:val="en-US"/>
                              </w:rPr>
                              <w:t xml:space="preserve"> </w:t>
                            </w:r>
                            <w:r w:rsidRPr="003F6DE3">
                              <w:rPr>
                                <w:rFonts w:ascii="Tw Cen MT" w:hAnsi="Tw Cen MT" w:cstheme="majorHAnsi"/>
                                <w:b/>
                                <w:szCs w:val="20"/>
                                <w:lang w:val="en-US"/>
                              </w:rPr>
                              <w:t xml:space="preserve">The DTM can help </w:t>
                            </w:r>
                            <w:r w:rsidR="00BF5954">
                              <w:rPr>
                                <w:rFonts w:ascii="Tw Cen MT" w:hAnsi="Tw Cen MT" w:cstheme="majorHAnsi"/>
                                <w:b/>
                                <w:szCs w:val="20"/>
                                <w:lang w:val="en-US"/>
                              </w:rPr>
                              <w:t xml:space="preserve">GBV </w:t>
                            </w:r>
                            <w:r w:rsidRPr="003F6DE3">
                              <w:rPr>
                                <w:rFonts w:ascii="Tw Cen MT" w:hAnsi="Tw Cen MT" w:cstheme="majorHAnsi"/>
                                <w:b/>
                                <w:szCs w:val="20"/>
                                <w:lang w:val="en-US"/>
                              </w:rPr>
                              <w:t xml:space="preserve">actors </w:t>
                            </w:r>
                            <w:r w:rsidR="00BF5954">
                              <w:rPr>
                                <w:rFonts w:ascii="Tw Cen MT" w:hAnsi="Tw Cen MT" w:cstheme="majorHAnsi"/>
                                <w:b/>
                                <w:szCs w:val="20"/>
                                <w:lang w:val="en-US"/>
                              </w:rPr>
                              <w:t>identify</w:t>
                            </w:r>
                            <w:r w:rsidR="00BF5954" w:rsidRPr="003F6DE3">
                              <w:rPr>
                                <w:rFonts w:ascii="Tw Cen MT" w:hAnsi="Tw Cen MT" w:cstheme="majorHAnsi"/>
                                <w:b/>
                                <w:szCs w:val="20"/>
                                <w:lang w:val="en-US"/>
                              </w:rPr>
                              <w:t xml:space="preserve"> </w:t>
                            </w:r>
                            <w:r w:rsidR="00AE2D81">
                              <w:rPr>
                                <w:rFonts w:ascii="Tw Cen MT" w:hAnsi="Tw Cen MT" w:cstheme="majorHAnsi"/>
                                <w:b/>
                                <w:szCs w:val="20"/>
                                <w:lang w:val="en-US"/>
                              </w:rPr>
                              <w:t xml:space="preserve">locations and issues that </w:t>
                            </w:r>
                            <w:r w:rsidRPr="003F6DE3">
                              <w:rPr>
                                <w:rFonts w:ascii="Tw Cen MT" w:hAnsi="Tw Cen MT" w:cstheme="majorHAnsi"/>
                                <w:b/>
                                <w:szCs w:val="20"/>
                                <w:lang w:val="en-US"/>
                              </w:rPr>
                              <w:t xml:space="preserve">need more </w:t>
                            </w:r>
                            <w:r w:rsidR="00BF5954" w:rsidRPr="003F6DE3">
                              <w:rPr>
                                <w:rFonts w:ascii="Tw Cen MT" w:hAnsi="Tw Cen MT" w:cstheme="majorHAnsi"/>
                                <w:b/>
                                <w:szCs w:val="20"/>
                                <w:lang w:val="en-US"/>
                              </w:rPr>
                              <w:t>in-depth</w:t>
                            </w:r>
                            <w:r w:rsidRPr="003F6DE3">
                              <w:rPr>
                                <w:rFonts w:ascii="Tw Cen MT" w:hAnsi="Tw Cen MT" w:cstheme="majorHAnsi"/>
                                <w:b/>
                                <w:szCs w:val="20"/>
                                <w:lang w:val="en-US"/>
                              </w:rPr>
                              <w:t xml:space="preserve"> assessment, or where follow-up specialized assessments are needed</w:t>
                            </w:r>
                            <w:r w:rsidR="009F34B2">
                              <w:rPr>
                                <w:rFonts w:ascii="Tw Cen MT" w:hAnsi="Tw Cen MT" w:cstheme="majorHAnsi"/>
                                <w:b/>
                                <w:szCs w:val="20"/>
                                <w:lang w:val="en-US"/>
                              </w:rPr>
                              <w:t>. The DTM on itself is not sufficient to give a complete overview of the GBV situation.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E56439" id="_x0000_t202" coordsize="21600,21600" o:spt="202" path="m,l,21600r21600,l21600,xe">
                <v:stroke joinstyle="miter"/>
                <v:path gradientshapeok="t" o:connecttype="rect"/>
              </v:shapetype>
              <v:shape id="Tekstvak 7" o:spid="_x0000_s1026" type="#_x0000_t202" style="position:absolute;left:0;text-align:left;margin-left:401.8pt;margin-top:12.55pt;width:453pt;height:111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" fillcolor="#e7e6e6 [3214]" strokecolor="#e7e6e6 [3214]" strokeweight=".5pt">
                <v:textbox>
                  <w:txbxContent>
                    <w:p w14:paraId="01B519F7" w14:textId="77777777" w:rsidR="003F6DE3" w:rsidRPr="00B54B16" w:rsidRDefault="003F6DE3" w:rsidP="00235660">
                      <w:pPr>
                        <w:pStyle w:val="NoSpacing"/>
                        <w:jc w:val="both"/>
                        <w:rPr>
                          <w:rFonts w:ascii="Tw Cen MT" w:hAnsi="Tw Cen MT" w:cstheme="majorHAnsi"/>
                          <w:i/>
                          <w:sz w:val="24"/>
                          <w:szCs w:val="20"/>
                          <w:lang w:val="en-US"/>
                        </w:rPr>
                      </w:pPr>
                      <w:r w:rsidRPr="00B54B16">
                        <w:rPr>
                          <w:rFonts w:ascii="Tw Cen MT" w:hAnsi="Tw Cen MT" w:cstheme="majorHAnsi"/>
                          <w:i/>
                          <w:sz w:val="24"/>
                          <w:szCs w:val="20"/>
                          <w:lang w:val="en-US"/>
                        </w:rPr>
                        <w:t xml:space="preserve">What do I use DTM for? </w:t>
                      </w:r>
                    </w:p>
                    <w:p w14:paraId="501C7EFF" w14:textId="3088B982" w:rsidR="00235660" w:rsidRPr="00CB5782" w:rsidRDefault="00235660" w:rsidP="00235660">
                      <w:pPr>
                        <w:pStyle w:val="NoSpacing"/>
                        <w:jc w:val="both"/>
                        <w:rPr>
                          <w:rFonts w:ascii="Tw Cen MT" w:hAnsi="Tw Cen MT" w:cstheme="majorHAnsi"/>
                          <w:sz w:val="20"/>
                          <w:szCs w:val="20"/>
                          <w:lang w:val="en-US"/>
                        </w:rPr>
                      </w:pPr>
                      <w:r w:rsidRPr="00CB5782">
                        <w:rPr>
                          <w:rFonts w:ascii="Tw Cen MT" w:hAnsi="Tw Cen MT" w:cstheme="majorHAnsi"/>
                          <w:sz w:val="20"/>
                          <w:szCs w:val="20"/>
                          <w:lang w:val="en-US"/>
                        </w:rPr>
                        <w:t xml:space="preserve">The DTM is a </w:t>
                      </w:r>
                      <w:r w:rsidRPr="00CB5782">
                        <w:rPr>
                          <w:rFonts w:ascii="Tw Cen MT" w:hAnsi="Tw Cen MT" w:cstheme="majorHAnsi"/>
                          <w:i/>
                          <w:sz w:val="20"/>
                          <w:szCs w:val="20"/>
                          <w:lang w:val="en-US"/>
                        </w:rPr>
                        <w:t xml:space="preserve">quick </w:t>
                      </w:r>
                      <w:r w:rsidRPr="00CB5782">
                        <w:rPr>
                          <w:rFonts w:ascii="Tw Cen MT" w:hAnsi="Tw Cen MT" w:cstheme="majorHAnsi"/>
                          <w:sz w:val="20"/>
                          <w:szCs w:val="20"/>
                          <w:lang w:val="en-US"/>
                        </w:rPr>
                        <w:t>multisectoral needs assessment that is done on a regular basis</w:t>
                      </w:r>
                      <w:r w:rsidRPr="009F34B2">
                        <w:rPr>
                          <w:rFonts w:ascii="Tw Cen MT" w:hAnsi="Tw Cen MT" w:cstheme="majorHAnsi"/>
                          <w:sz w:val="20"/>
                          <w:szCs w:val="20"/>
                          <w:lang w:val="en-US"/>
                        </w:rPr>
                        <w:t>. Data from the DTM should be used as an</w:t>
                      </w:r>
                      <w:r w:rsidRPr="00CB5782">
                        <w:rPr>
                          <w:rFonts w:ascii="Tw Cen MT" w:hAnsi="Tw Cen MT" w:cstheme="majorHAnsi"/>
                          <w:sz w:val="20"/>
                          <w:szCs w:val="20"/>
                          <w:lang w:val="en-US"/>
                        </w:rPr>
                        <w:t xml:space="preserve"> </w:t>
                      </w:r>
                      <w:r w:rsidRPr="00CB5782">
                        <w:rPr>
                          <w:rFonts w:ascii="Tw Cen MT" w:hAnsi="Tw Cen MT" w:cstheme="majorHAnsi"/>
                          <w:b/>
                          <w:sz w:val="20"/>
                          <w:szCs w:val="20"/>
                          <w:lang w:val="en-US"/>
                        </w:rPr>
                        <w:t xml:space="preserve">indication on possible </w:t>
                      </w:r>
                      <w:r w:rsidR="00BF5954">
                        <w:rPr>
                          <w:rFonts w:ascii="Tw Cen MT" w:hAnsi="Tw Cen MT" w:cstheme="majorHAnsi"/>
                          <w:b/>
                          <w:sz w:val="20"/>
                          <w:szCs w:val="20"/>
                          <w:lang w:val="en-US"/>
                        </w:rPr>
                        <w:t>gaps in GBV services</w:t>
                      </w:r>
                      <w:r w:rsidR="002552E7">
                        <w:rPr>
                          <w:rFonts w:ascii="Tw Cen MT" w:hAnsi="Tw Cen MT" w:cstheme="majorHAnsi"/>
                          <w:b/>
                          <w:sz w:val="20"/>
                          <w:szCs w:val="20"/>
                          <w:lang w:val="en-US"/>
                        </w:rPr>
                        <w:t>,</w:t>
                      </w:r>
                      <w:r w:rsidRPr="00CB5782">
                        <w:rPr>
                          <w:rFonts w:ascii="Tw Cen MT" w:hAnsi="Tw Cen MT" w:cstheme="majorHAnsi"/>
                          <w:b/>
                          <w:sz w:val="20"/>
                          <w:szCs w:val="20"/>
                          <w:lang w:val="en-US"/>
                        </w:rPr>
                        <w:t xml:space="preserve"> and</w:t>
                      </w:r>
                      <w:r w:rsidR="009F34B2">
                        <w:rPr>
                          <w:rFonts w:ascii="Tw Cen MT" w:hAnsi="Tw Cen MT" w:cstheme="majorHAnsi"/>
                          <w:b/>
                          <w:sz w:val="20"/>
                          <w:szCs w:val="20"/>
                          <w:lang w:val="en-US"/>
                        </w:rPr>
                        <w:t xml:space="preserve"> possible</w:t>
                      </w:r>
                      <w:r w:rsidRPr="00CB5782">
                        <w:rPr>
                          <w:rFonts w:ascii="Tw Cen MT" w:hAnsi="Tw Cen MT" w:cstheme="majorHAnsi"/>
                          <w:b/>
                          <w:sz w:val="20"/>
                          <w:szCs w:val="20"/>
                          <w:lang w:val="en-US"/>
                        </w:rPr>
                        <w:t xml:space="preserve"> GBV risks.</w:t>
                      </w:r>
                      <w:r w:rsidRPr="00CB5782">
                        <w:rPr>
                          <w:rFonts w:ascii="Tw Cen MT" w:hAnsi="Tw Cen MT" w:cstheme="majorHAnsi"/>
                          <w:sz w:val="20"/>
                          <w:szCs w:val="20"/>
                          <w:lang w:val="en-US"/>
                        </w:rPr>
                        <w:t xml:space="preserve"> The DTM should be analyzed to look at trends that emerge from the data, and what protection needs and GBV risks come up. In order to create a complete picture, </w:t>
                      </w:r>
                      <w:r w:rsidR="00D308D2" w:rsidRPr="003F6DE3">
                        <w:rPr>
                          <w:rFonts w:ascii="Tw Cen MT" w:hAnsi="Tw Cen MT" w:cstheme="majorHAnsi"/>
                          <w:sz w:val="20"/>
                          <w:szCs w:val="20"/>
                          <w:lang w:val="en-US"/>
                        </w:rPr>
                        <w:t xml:space="preserve">other GBV information or </w:t>
                      </w:r>
                      <w:r w:rsidRPr="003F6DE3">
                        <w:rPr>
                          <w:rFonts w:ascii="Tw Cen MT" w:hAnsi="Tw Cen MT" w:cstheme="majorHAnsi"/>
                          <w:sz w:val="20"/>
                          <w:szCs w:val="20"/>
                          <w:lang w:val="en-US"/>
                        </w:rPr>
                        <w:t>specialized GBV assessments (e.g. Focus Group Discussions, Safety Audits, etc.)</w:t>
                      </w:r>
                      <w:r w:rsidRPr="00CB5782">
                        <w:rPr>
                          <w:rFonts w:ascii="Tw Cen MT" w:hAnsi="Tw Cen MT" w:cstheme="majorHAnsi"/>
                          <w:b/>
                          <w:sz w:val="20"/>
                          <w:szCs w:val="20"/>
                          <w:lang w:val="en-US"/>
                        </w:rPr>
                        <w:t xml:space="preserve"> </w:t>
                      </w:r>
                      <w:r w:rsidR="00D308D2">
                        <w:rPr>
                          <w:rFonts w:ascii="Tw Cen MT" w:hAnsi="Tw Cen MT" w:cstheme="majorHAnsi"/>
                          <w:sz w:val="20"/>
                          <w:szCs w:val="20"/>
                          <w:lang w:val="en-US"/>
                        </w:rPr>
                        <w:t>need to be looked at to complement</w:t>
                      </w:r>
                      <w:r w:rsidR="002552E7">
                        <w:rPr>
                          <w:rFonts w:ascii="Tw Cen MT" w:hAnsi="Tw Cen MT" w:cstheme="majorHAnsi"/>
                          <w:sz w:val="20"/>
                          <w:szCs w:val="20"/>
                          <w:lang w:val="en-US"/>
                        </w:rPr>
                        <w:t xml:space="preserve"> this information</w:t>
                      </w:r>
                      <w:r w:rsidR="00D308D2">
                        <w:rPr>
                          <w:rFonts w:ascii="Tw Cen MT" w:hAnsi="Tw Cen MT" w:cstheme="majorHAnsi"/>
                          <w:sz w:val="20"/>
                          <w:szCs w:val="20"/>
                          <w:lang w:val="en-US"/>
                        </w:rPr>
                        <w:t>.</w:t>
                      </w:r>
                      <w:r w:rsidRPr="00CB5782">
                        <w:rPr>
                          <w:rFonts w:ascii="Tw Cen MT" w:hAnsi="Tw Cen MT" w:cstheme="majorHAnsi"/>
                          <w:b/>
                          <w:sz w:val="20"/>
                          <w:szCs w:val="20"/>
                          <w:lang w:val="en-US"/>
                        </w:rPr>
                        <w:t xml:space="preserve"> </w:t>
                      </w:r>
                      <w:r w:rsidRPr="003F6DE3">
                        <w:rPr>
                          <w:rFonts w:ascii="Tw Cen MT" w:hAnsi="Tw Cen MT" w:cstheme="majorHAnsi"/>
                          <w:b/>
                          <w:szCs w:val="20"/>
                          <w:lang w:val="en-US"/>
                        </w:rPr>
                        <w:t xml:space="preserve">The DTM can help </w:t>
                      </w:r>
                      <w:r w:rsidR="00BF5954">
                        <w:rPr>
                          <w:rFonts w:ascii="Tw Cen MT" w:hAnsi="Tw Cen MT" w:cstheme="majorHAnsi"/>
                          <w:b/>
                          <w:szCs w:val="20"/>
                          <w:lang w:val="en-US"/>
                        </w:rPr>
                        <w:t xml:space="preserve">GBV </w:t>
                      </w:r>
                      <w:r w:rsidRPr="003F6DE3">
                        <w:rPr>
                          <w:rFonts w:ascii="Tw Cen MT" w:hAnsi="Tw Cen MT" w:cstheme="majorHAnsi"/>
                          <w:b/>
                          <w:szCs w:val="20"/>
                          <w:lang w:val="en-US"/>
                        </w:rPr>
                        <w:t xml:space="preserve">actors </w:t>
                      </w:r>
                      <w:r w:rsidR="00BF5954">
                        <w:rPr>
                          <w:rFonts w:ascii="Tw Cen MT" w:hAnsi="Tw Cen MT" w:cstheme="majorHAnsi"/>
                          <w:b/>
                          <w:szCs w:val="20"/>
                          <w:lang w:val="en-US"/>
                        </w:rPr>
                        <w:t>identify</w:t>
                      </w:r>
                      <w:r w:rsidR="00BF5954" w:rsidRPr="003F6DE3">
                        <w:rPr>
                          <w:rFonts w:ascii="Tw Cen MT" w:hAnsi="Tw Cen MT" w:cstheme="majorHAnsi"/>
                          <w:b/>
                          <w:szCs w:val="20"/>
                          <w:lang w:val="en-US"/>
                        </w:rPr>
                        <w:t xml:space="preserve"> </w:t>
                      </w:r>
                      <w:r w:rsidR="00AE2D81">
                        <w:rPr>
                          <w:rFonts w:ascii="Tw Cen MT" w:hAnsi="Tw Cen MT" w:cstheme="majorHAnsi"/>
                          <w:b/>
                          <w:szCs w:val="20"/>
                          <w:lang w:val="en-US"/>
                        </w:rPr>
                        <w:t xml:space="preserve">locations and issues that </w:t>
                      </w:r>
                      <w:r w:rsidRPr="003F6DE3">
                        <w:rPr>
                          <w:rFonts w:ascii="Tw Cen MT" w:hAnsi="Tw Cen MT" w:cstheme="majorHAnsi"/>
                          <w:b/>
                          <w:szCs w:val="20"/>
                          <w:lang w:val="en-US"/>
                        </w:rPr>
                        <w:t xml:space="preserve">need more </w:t>
                      </w:r>
                      <w:r w:rsidR="00BF5954" w:rsidRPr="003F6DE3">
                        <w:rPr>
                          <w:rFonts w:ascii="Tw Cen MT" w:hAnsi="Tw Cen MT" w:cstheme="majorHAnsi"/>
                          <w:b/>
                          <w:szCs w:val="20"/>
                          <w:lang w:val="en-US"/>
                        </w:rPr>
                        <w:t>in-depth</w:t>
                      </w:r>
                      <w:r w:rsidRPr="003F6DE3">
                        <w:rPr>
                          <w:rFonts w:ascii="Tw Cen MT" w:hAnsi="Tw Cen MT" w:cstheme="majorHAnsi"/>
                          <w:b/>
                          <w:szCs w:val="20"/>
                          <w:lang w:val="en-US"/>
                        </w:rPr>
                        <w:t xml:space="preserve"> assessment, or where follow-up specialized assessments are needed</w:t>
                      </w:r>
                      <w:r w:rsidR="009F34B2">
                        <w:rPr>
                          <w:rFonts w:ascii="Tw Cen MT" w:hAnsi="Tw Cen MT" w:cstheme="majorHAnsi"/>
                          <w:b/>
                          <w:szCs w:val="20"/>
                          <w:lang w:val="en-US"/>
                        </w:rPr>
                        <w:t xml:space="preserve">. The DTM on itself is not </w:t>
                      </w:r>
                      <w:proofErr w:type="gramStart"/>
                      <w:r w:rsidR="009F34B2">
                        <w:rPr>
                          <w:rFonts w:ascii="Tw Cen MT" w:hAnsi="Tw Cen MT" w:cstheme="majorHAnsi"/>
                          <w:b/>
                          <w:szCs w:val="20"/>
                          <w:lang w:val="en-US"/>
                        </w:rPr>
                        <w:t>sufficient</w:t>
                      </w:r>
                      <w:proofErr w:type="gramEnd"/>
                      <w:r w:rsidR="009F34B2">
                        <w:rPr>
                          <w:rFonts w:ascii="Tw Cen MT" w:hAnsi="Tw Cen MT" w:cstheme="majorHAnsi"/>
                          <w:b/>
                          <w:szCs w:val="20"/>
                          <w:lang w:val="en-US"/>
                        </w:rPr>
                        <w:t xml:space="preserve"> to give a complete overview of the GBV situation.</w:t>
                      </w:r>
                    </w:p>
                  </w:txbxContent>
                </v:textbox>
                <w10:wrap anchorx="margin"/>
              </v:shape>
            </w:pict>
          </mc:Fallback>
        </mc:AlternateContent>
      </w:r>
    </w:p>
    <w:p w14:paraId="6B0A8089" w14:textId="7539635D" w:rsidR="00235660" w:rsidRDefault="00235660" w:rsidP="0001540A">
      <w:pPr>
        <w:pStyle w:val="Geenafstand"/>
        <w:jc w:val="both"/>
        <w:rPr>
          <w:rFonts w:asciiTheme="majorHAnsi" w:hAnsiTheme="majorHAnsi" w:cstheme="majorHAnsi"/>
          <w:b/>
          <w:sz w:val="20"/>
          <w:szCs w:val="20"/>
          <w:lang w:val="en-US"/>
        </w:rPr>
      </w:pPr>
    </w:p>
    <w:p w14:paraId="0CF1E642" w14:textId="77777777" w:rsidR="00235660" w:rsidRDefault="00235660" w:rsidP="0001540A">
      <w:pPr>
        <w:pStyle w:val="Geenafstand"/>
        <w:jc w:val="both"/>
        <w:rPr>
          <w:rFonts w:asciiTheme="majorHAnsi" w:hAnsiTheme="majorHAnsi" w:cstheme="majorHAnsi"/>
          <w:sz w:val="20"/>
          <w:szCs w:val="20"/>
          <w:lang w:val="en-US"/>
        </w:rPr>
      </w:pPr>
    </w:p>
    <w:p w14:paraId="371B2767" w14:textId="77777777" w:rsidR="00235660" w:rsidRDefault="00235660" w:rsidP="0001540A">
      <w:pPr>
        <w:pStyle w:val="Geenafstand"/>
        <w:jc w:val="both"/>
        <w:rPr>
          <w:rFonts w:asciiTheme="majorHAnsi" w:hAnsiTheme="majorHAnsi" w:cstheme="majorHAnsi"/>
          <w:sz w:val="20"/>
          <w:szCs w:val="20"/>
          <w:lang w:val="en-US"/>
        </w:rPr>
      </w:pPr>
    </w:p>
    <w:p w14:paraId="27C36174" w14:textId="77777777" w:rsidR="00235660" w:rsidRDefault="00235660" w:rsidP="0001540A">
      <w:pPr>
        <w:pStyle w:val="Geenafstand"/>
        <w:jc w:val="both"/>
        <w:rPr>
          <w:rFonts w:asciiTheme="majorHAnsi" w:hAnsiTheme="majorHAnsi" w:cstheme="majorHAnsi"/>
          <w:sz w:val="20"/>
          <w:szCs w:val="20"/>
          <w:lang w:val="en-US"/>
        </w:rPr>
      </w:pPr>
    </w:p>
    <w:p w14:paraId="0D7E5A1D" w14:textId="77777777" w:rsidR="00235660" w:rsidRDefault="00235660" w:rsidP="0001540A">
      <w:pPr>
        <w:pStyle w:val="Geenafstand"/>
        <w:jc w:val="both"/>
        <w:rPr>
          <w:rFonts w:asciiTheme="majorHAnsi" w:hAnsiTheme="majorHAnsi" w:cstheme="majorHAnsi"/>
          <w:sz w:val="20"/>
          <w:szCs w:val="20"/>
          <w:lang w:val="en-US"/>
        </w:rPr>
      </w:pPr>
    </w:p>
    <w:p w14:paraId="4353BC23" w14:textId="77777777" w:rsidR="00235660" w:rsidRDefault="00235660" w:rsidP="0001540A">
      <w:pPr>
        <w:pStyle w:val="Geenafstand"/>
        <w:jc w:val="both"/>
        <w:rPr>
          <w:rFonts w:asciiTheme="majorHAnsi" w:hAnsiTheme="majorHAnsi" w:cstheme="majorHAnsi"/>
          <w:sz w:val="20"/>
          <w:szCs w:val="20"/>
          <w:lang w:val="en-US"/>
        </w:rPr>
      </w:pPr>
    </w:p>
    <w:p w14:paraId="7E656DFE" w14:textId="77777777" w:rsidR="00235660" w:rsidRDefault="00235660" w:rsidP="0001540A">
      <w:pPr>
        <w:pStyle w:val="Geenafstand"/>
        <w:jc w:val="both"/>
        <w:rPr>
          <w:rFonts w:asciiTheme="majorHAnsi" w:hAnsiTheme="majorHAnsi" w:cstheme="majorHAnsi"/>
          <w:sz w:val="20"/>
          <w:szCs w:val="20"/>
          <w:lang w:val="en-US"/>
        </w:rPr>
      </w:pPr>
    </w:p>
    <w:p w14:paraId="14399CF7" w14:textId="77777777" w:rsidR="00235660" w:rsidRDefault="00235660" w:rsidP="0001540A">
      <w:pPr>
        <w:pStyle w:val="Geenafstand"/>
        <w:jc w:val="both"/>
        <w:rPr>
          <w:rFonts w:asciiTheme="majorHAnsi" w:hAnsiTheme="majorHAnsi" w:cstheme="majorHAnsi"/>
          <w:i/>
          <w:sz w:val="20"/>
          <w:szCs w:val="20"/>
          <w:lang w:val="en-US"/>
        </w:rPr>
      </w:pPr>
    </w:p>
    <w:p w14:paraId="61C210E1" w14:textId="77777777" w:rsidR="002552E7" w:rsidRDefault="002552E7" w:rsidP="0001540A">
      <w:pPr>
        <w:pStyle w:val="Geenafstand"/>
        <w:jc w:val="both"/>
        <w:rPr>
          <w:rFonts w:ascii="Tw Cen MT" w:hAnsi="Tw Cen MT" w:cstheme="majorHAnsi"/>
          <w:i/>
          <w:sz w:val="24"/>
          <w:szCs w:val="20"/>
          <w:lang w:val="en-US"/>
        </w:rPr>
      </w:pPr>
    </w:p>
    <w:p w14:paraId="6745E3CD" w14:textId="77777777" w:rsidR="009F34B2" w:rsidRDefault="009F34B2" w:rsidP="0001540A">
      <w:pPr>
        <w:pStyle w:val="Geenafstand"/>
        <w:jc w:val="both"/>
        <w:rPr>
          <w:rFonts w:ascii="Tw Cen MT" w:hAnsi="Tw Cen MT" w:cstheme="majorHAnsi"/>
          <w:sz w:val="24"/>
          <w:szCs w:val="20"/>
          <w:lang w:val="en-US"/>
        </w:rPr>
      </w:pPr>
    </w:p>
    <w:p w14:paraId="01477498" w14:textId="6DE0E1DE" w:rsidR="0001540A" w:rsidRPr="00986EA4" w:rsidRDefault="0001540A" w:rsidP="0001540A">
      <w:pPr>
        <w:pStyle w:val="Geenafstand"/>
        <w:jc w:val="both"/>
        <w:rPr>
          <w:rFonts w:ascii="Tw Cen MT" w:hAnsi="Tw Cen MT" w:cstheme="majorHAnsi"/>
          <w:sz w:val="24"/>
          <w:szCs w:val="20"/>
          <w:lang w:val="en-US"/>
        </w:rPr>
      </w:pPr>
      <w:r w:rsidRPr="00986EA4">
        <w:rPr>
          <w:rFonts w:ascii="Tw Cen MT" w:hAnsi="Tw Cen MT" w:cstheme="majorHAnsi"/>
          <w:sz w:val="24"/>
          <w:szCs w:val="20"/>
          <w:lang w:val="en-US"/>
        </w:rPr>
        <w:t>How is it made?</w:t>
      </w:r>
    </w:p>
    <w:p w14:paraId="60402DBD" w14:textId="77777777" w:rsidR="009F34B2" w:rsidRDefault="0001540A" w:rsidP="0001540A">
      <w:pPr>
        <w:pStyle w:val="Geenafstand"/>
        <w:jc w:val="both"/>
        <w:rPr>
          <w:rFonts w:ascii="Tw Cen MT" w:hAnsi="Tw Cen MT" w:cstheme="majorHAnsi"/>
          <w:sz w:val="20"/>
          <w:szCs w:val="20"/>
          <w:lang w:val="en-US"/>
        </w:rPr>
      </w:pPr>
      <w:r w:rsidRPr="00CB5782">
        <w:rPr>
          <w:rFonts w:ascii="Tw Cen MT" w:hAnsi="Tw Cen MT" w:cstheme="majorHAnsi"/>
          <w:sz w:val="20"/>
          <w:szCs w:val="20"/>
          <w:lang w:val="en-US"/>
        </w:rPr>
        <w:t>The questionnaire is designed differently in each context. In other words, there is no standard questionnaire that is provided, as information needs differ per context. Each cluster</w:t>
      </w:r>
      <w:r w:rsidR="00AE2D81">
        <w:rPr>
          <w:rFonts w:ascii="Tw Cen MT" w:hAnsi="Tw Cen MT" w:cstheme="majorHAnsi"/>
          <w:sz w:val="20"/>
          <w:szCs w:val="20"/>
          <w:lang w:val="en-US"/>
        </w:rPr>
        <w:t>/WG</w:t>
      </w:r>
      <w:r w:rsidRPr="00CB5782">
        <w:rPr>
          <w:rFonts w:ascii="Tw Cen MT" w:hAnsi="Tw Cen MT" w:cstheme="majorHAnsi"/>
          <w:sz w:val="20"/>
          <w:szCs w:val="20"/>
          <w:lang w:val="en-US"/>
        </w:rPr>
        <w:t xml:space="preserve"> is asked to provide input to the questionnaire, in order to ensure the most useful indicators are included into the questionnaire. </w:t>
      </w:r>
    </w:p>
    <w:p w14:paraId="1C2AF1D2" w14:textId="368BCCEC" w:rsidR="009F34B2" w:rsidRDefault="009F34B2" w:rsidP="0001540A">
      <w:pPr>
        <w:pStyle w:val="Geenafstand"/>
        <w:jc w:val="both"/>
        <w:rPr>
          <w:rFonts w:ascii="Tw Cen MT" w:hAnsi="Tw Cen MT" w:cstheme="majorHAnsi"/>
          <w:sz w:val="20"/>
          <w:szCs w:val="20"/>
          <w:lang w:val="en-US"/>
        </w:rPr>
      </w:pPr>
    </w:p>
    <w:p w14:paraId="2C414616" w14:textId="61B11CCB" w:rsidR="009F34B2" w:rsidRPr="00F12770" w:rsidRDefault="009F34B2" w:rsidP="0001540A">
      <w:pPr>
        <w:pStyle w:val="Geenafstand"/>
        <w:jc w:val="both"/>
        <w:rPr>
          <w:rFonts w:ascii="Tw Cen MT" w:hAnsi="Tw Cen MT" w:cstheme="majorHAnsi"/>
          <w:sz w:val="24"/>
          <w:szCs w:val="20"/>
          <w:lang w:val="en-US"/>
        </w:rPr>
      </w:pPr>
      <w:r w:rsidRPr="00F12770">
        <w:rPr>
          <w:rFonts w:ascii="Tw Cen MT" w:hAnsi="Tw Cen MT" w:cstheme="majorHAnsi"/>
          <w:sz w:val="24"/>
          <w:szCs w:val="20"/>
          <w:lang w:val="en-US"/>
        </w:rPr>
        <w:t>What are the responsibilities of the GBV sub-cluster with regards to DTM?</w:t>
      </w:r>
    </w:p>
    <w:p w14:paraId="2D509BEC" w14:textId="19278521" w:rsidR="00354F50" w:rsidRPr="00CB5782" w:rsidRDefault="00FC676D" w:rsidP="0001540A">
      <w:pPr>
        <w:pStyle w:val="Geenafstand"/>
        <w:jc w:val="both"/>
        <w:rPr>
          <w:rFonts w:ascii="Tw Cen MT" w:hAnsi="Tw Cen MT" w:cstheme="majorHAnsi"/>
          <w:sz w:val="20"/>
          <w:szCs w:val="20"/>
          <w:lang w:val="en-US"/>
        </w:rPr>
      </w:pPr>
      <w:r w:rsidRPr="00CB5782">
        <w:rPr>
          <w:rFonts w:ascii="Tw Cen MT" w:hAnsi="Tw Cen MT" w:cstheme="majorHAnsi"/>
          <w:sz w:val="20"/>
          <w:szCs w:val="20"/>
          <w:lang w:val="en-US"/>
        </w:rPr>
        <w:t xml:space="preserve">There are </w:t>
      </w:r>
      <w:r w:rsidRPr="00CB5782">
        <w:rPr>
          <w:rFonts w:ascii="Tw Cen MT" w:hAnsi="Tw Cen MT" w:cstheme="majorHAnsi"/>
          <w:i/>
          <w:sz w:val="20"/>
          <w:szCs w:val="20"/>
          <w:lang w:val="en-US"/>
        </w:rPr>
        <w:t xml:space="preserve">four key roles </w:t>
      </w:r>
      <w:r w:rsidRPr="00CB5782">
        <w:rPr>
          <w:rFonts w:ascii="Tw Cen MT" w:hAnsi="Tw Cen MT" w:cstheme="majorHAnsi"/>
          <w:sz w:val="20"/>
          <w:szCs w:val="20"/>
          <w:lang w:val="en-US"/>
        </w:rPr>
        <w:t>in making a DTM questionnaire:</w:t>
      </w:r>
    </w:p>
    <w:p w14:paraId="087A8920" w14:textId="282844F5" w:rsidR="00FC676D" w:rsidRPr="00CB5782" w:rsidRDefault="00FC676D" w:rsidP="00FC676D">
      <w:pPr>
        <w:pStyle w:val="Geenafstand"/>
        <w:numPr>
          <w:ilvl w:val="0"/>
          <w:numId w:val="4"/>
        </w:numPr>
        <w:jc w:val="both"/>
        <w:rPr>
          <w:rFonts w:ascii="Tw Cen MT" w:hAnsi="Tw Cen MT" w:cstheme="majorHAnsi"/>
          <w:sz w:val="20"/>
          <w:szCs w:val="20"/>
          <w:lang w:val="en-US"/>
        </w:rPr>
      </w:pPr>
      <w:r w:rsidRPr="00CB5782">
        <w:rPr>
          <w:rFonts w:ascii="Tw Cen MT" w:hAnsi="Tw Cen MT" w:cstheme="majorHAnsi"/>
          <w:sz w:val="20"/>
          <w:szCs w:val="20"/>
          <w:lang w:val="en-US"/>
        </w:rPr>
        <w:t xml:space="preserve">The DTM coordinator: He/she will </w:t>
      </w:r>
      <w:r w:rsidR="00AE2D81">
        <w:rPr>
          <w:rFonts w:ascii="Tw Cen MT" w:hAnsi="Tw Cen MT" w:cstheme="majorHAnsi"/>
          <w:sz w:val="20"/>
          <w:szCs w:val="20"/>
          <w:lang w:val="en-US"/>
        </w:rPr>
        <w:t>discuss with partners (e.g.,</w:t>
      </w:r>
      <w:r w:rsidRPr="00CB5782">
        <w:rPr>
          <w:rFonts w:ascii="Tw Cen MT" w:hAnsi="Tw Cen MT" w:cstheme="majorHAnsi"/>
          <w:sz w:val="20"/>
          <w:szCs w:val="20"/>
          <w:lang w:val="en-US"/>
        </w:rPr>
        <w:t xml:space="preserve"> clusters </w:t>
      </w:r>
      <w:r w:rsidR="00AE2D81">
        <w:rPr>
          <w:rFonts w:ascii="Tw Cen MT" w:hAnsi="Tw Cen MT" w:cstheme="majorHAnsi"/>
          <w:sz w:val="20"/>
          <w:szCs w:val="20"/>
          <w:lang w:val="en-US"/>
        </w:rPr>
        <w:t xml:space="preserve">and WGs) </w:t>
      </w:r>
      <w:r w:rsidRPr="00CB5782">
        <w:rPr>
          <w:rFonts w:ascii="Tw Cen MT" w:hAnsi="Tw Cen MT" w:cstheme="majorHAnsi"/>
          <w:sz w:val="20"/>
          <w:szCs w:val="20"/>
          <w:lang w:val="en-US"/>
        </w:rPr>
        <w:t xml:space="preserve">on </w:t>
      </w:r>
      <w:r w:rsidR="00AE2D81">
        <w:rPr>
          <w:rFonts w:ascii="Tw Cen MT" w:hAnsi="Tw Cen MT" w:cstheme="majorHAnsi"/>
          <w:sz w:val="20"/>
          <w:szCs w:val="20"/>
          <w:lang w:val="en-US"/>
        </w:rPr>
        <w:t xml:space="preserve">the </w:t>
      </w:r>
      <w:r w:rsidRPr="00CB5782">
        <w:rPr>
          <w:rFonts w:ascii="Tw Cen MT" w:hAnsi="Tw Cen MT" w:cstheme="majorHAnsi"/>
          <w:sz w:val="20"/>
          <w:szCs w:val="20"/>
          <w:lang w:val="en-US"/>
        </w:rPr>
        <w:t xml:space="preserve">information they need, and </w:t>
      </w:r>
      <w:r w:rsidR="00AE2D81">
        <w:rPr>
          <w:rFonts w:ascii="Tw Cen MT" w:hAnsi="Tw Cen MT" w:cstheme="majorHAnsi"/>
          <w:sz w:val="20"/>
          <w:szCs w:val="20"/>
          <w:lang w:val="en-US"/>
        </w:rPr>
        <w:t>contribute his/her  team’s</w:t>
      </w:r>
      <w:r w:rsidRPr="00CB5782">
        <w:rPr>
          <w:rFonts w:ascii="Tw Cen MT" w:hAnsi="Tw Cen MT" w:cstheme="majorHAnsi"/>
          <w:sz w:val="20"/>
          <w:szCs w:val="20"/>
          <w:lang w:val="en-US"/>
        </w:rPr>
        <w:t xml:space="preserve"> knowledge on how questions are best asked to provide this information.</w:t>
      </w:r>
    </w:p>
    <w:p w14:paraId="5FEB4E2D" w14:textId="08ECD614" w:rsidR="00FC676D" w:rsidRPr="00CB5782" w:rsidRDefault="00FC676D" w:rsidP="00FC676D">
      <w:pPr>
        <w:pStyle w:val="Geenafstand"/>
        <w:numPr>
          <w:ilvl w:val="0"/>
          <w:numId w:val="4"/>
        </w:numPr>
        <w:jc w:val="both"/>
        <w:rPr>
          <w:rFonts w:ascii="Tw Cen MT" w:hAnsi="Tw Cen MT" w:cstheme="majorHAnsi"/>
          <w:b/>
          <w:sz w:val="20"/>
          <w:szCs w:val="20"/>
          <w:lang w:val="en-US"/>
        </w:rPr>
      </w:pPr>
      <w:r w:rsidRPr="00CB5782">
        <w:rPr>
          <w:rFonts w:ascii="Tw Cen MT" w:hAnsi="Tw Cen MT" w:cstheme="majorHAnsi"/>
          <w:b/>
          <w:sz w:val="20"/>
          <w:szCs w:val="20"/>
          <w:lang w:val="en-US"/>
        </w:rPr>
        <w:t xml:space="preserve">The GBV sub-cluster coordinator: </w:t>
      </w:r>
      <w:r w:rsidR="00AE2D81">
        <w:rPr>
          <w:rFonts w:ascii="Tw Cen MT" w:hAnsi="Tw Cen MT" w:cstheme="majorHAnsi"/>
          <w:sz w:val="20"/>
          <w:szCs w:val="20"/>
          <w:lang w:val="en-US"/>
        </w:rPr>
        <w:t>Defines the</w:t>
      </w:r>
      <w:r w:rsidRPr="00CB5782">
        <w:rPr>
          <w:rFonts w:ascii="Tw Cen MT" w:hAnsi="Tw Cen MT" w:cstheme="majorHAnsi"/>
          <w:sz w:val="20"/>
          <w:szCs w:val="20"/>
          <w:lang w:val="en-US"/>
        </w:rPr>
        <w:t xml:space="preserve"> information on GBV needs </w:t>
      </w:r>
      <w:r w:rsidR="00AE2D81">
        <w:rPr>
          <w:rFonts w:ascii="Tw Cen MT" w:hAnsi="Tw Cen MT" w:cstheme="majorHAnsi"/>
          <w:sz w:val="20"/>
          <w:szCs w:val="20"/>
          <w:lang w:val="en-US"/>
        </w:rPr>
        <w:t xml:space="preserve">and risks </w:t>
      </w:r>
      <w:r w:rsidRPr="00CB5782">
        <w:rPr>
          <w:rFonts w:ascii="Tw Cen MT" w:hAnsi="Tw Cen MT" w:cstheme="majorHAnsi"/>
          <w:sz w:val="20"/>
          <w:szCs w:val="20"/>
          <w:lang w:val="en-US"/>
        </w:rPr>
        <w:t xml:space="preserve">to be collected, </w:t>
      </w:r>
      <w:r w:rsidR="00AE2D81">
        <w:rPr>
          <w:rFonts w:ascii="Tw Cen MT" w:hAnsi="Tw Cen MT" w:cstheme="majorHAnsi"/>
          <w:sz w:val="20"/>
          <w:szCs w:val="20"/>
          <w:lang w:val="en-US"/>
        </w:rPr>
        <w:t xml:space="preserve">based on what decisions the cluster should make for </w:t>
      </w:r>
      <w:r w:rsidRPr="00CB5782">
        <w:rPr>
          <w:rFonts w:ascii="Tw Cen MT" w:hAnsi="Tw Cen MT" w:cstheme="majorHAnsi"/>
          <w:sz w:val="20"/>
          <w:szCs w:val="20"/>
          <w:lang w:val="en-US"/>
        </w:rPr>
        <w:t xml:space="preserve">the response to GBV. </w:t>
      </w:r>
    </w:p>
    <w:p w14:paraId="612309B9" w14:textId="4ABC54E0" w:rsidR="00FC676D" w:rsidRPr="002552E7" w:rsidRDefault="00FC676D" w:rsidP="00FC676D">
      <w:pPr>
        <w:pStyle w:val="Geenafstand"/>
        <w:numPr>
          <w:ilvl w:val="0"/>
          <w:numId w:val="4"/>
        </w:numPr>
        <w:jc w:val="both"/>
        <w:rPr>
          <w:rFonts w:ascii="Tw Cen MT" w:hAnsi="Tw Cen MT" w:cstheme="majorHAnsi"/>
          <w:b/>
          <w:sz w:val="20"/>
          <w:szCs w:val="20"/>
          <w:lang w:val="en-US"/>
        </w:rPr>
      </w:pPr>
      <w:r w:rsidRPr="00CB5782">
        <w:rPr>
          <w:rFonts w:ascii="Tw Cen MT" w:hAnsi="Tw Cen MT" w:cstheme="majorHAnsi"/>
          <w:b/>
          <w:sz w:val="20"/>
          <w:szCs w:val="20"/>
          <w:lang w:val="en-US"/>
        </w:rPr>
        <w:t xml:space="preserve">The GBV sub-cluster IMO: </w:t>
      </w:r>
      <w:r w:rsidR="00AE2D81">
        <w:rPr>
          <w:rFonts w:ascii="Tw Cen MT" w:hAnsi="Tw Cen MT" w:cstheme="majorHAnsi"/>
          <w:sz w:val="20"/>
          <w:szCs w:val="20"/>
          <w:lang w:val="en-US"/>
        </w:rPr>
        <w:t xml:space="preserve">Identifies </w:t>
      </w:r>
      <w:r w:rsidRPr="00CB5782">
        <w:rPr>
          <w:rFonts w:ascii="Tw Cen MT" w:hAnsi="Tw Cen MT" w:cstheme="majorHAnsi"/>
          <w:sz w:val="20"/>
          <w:szCs w:val="20"/>
          <w:lang w:val="en-US"/>
        </w:rPr>
        <w:t xml:space="preserve">what information on GBV already exists, what is missing, and what can be collected through DTM. </w:t>
      </w:r>
    </w:p>
    <w:p w14:paraId="4B6E1AEA" w14:textId="62AA8750" w:rsidR="002552E7" w:rsidRPr="00F12770" w:rsidRDefault="006072C8" w:rsidP="00FC676D">
      <w:pPr>
        <w:pStyle w:val="Geenafstand"/>
        <w:numPr>
          <w:ilvl w:val="0"/>
          <w:numId w:val="4"/>
        </w:numPr>
        <w:jc w:val="both"/>
        <w:rPr>
          <w:rFonts w:ascii="Tw Cen MT" w:hAnsi="Tw Cen MT" w:cstheme="majorHAnsi"/>
          <w:b/>
          <w:sz w:val="20"/>
          <w:szCs w:val="20"/>
          <w:lang w:val="en-US"/>
        </w:rPr>
      </w:pPr>
      <w:r>
        <w:rPr>
          <w:rFonts w:ascii="Tw Cen MT" w:hAnsi="Tw Cen MT" w:cstheme="majorHAnsi"/>
          <w:sz w:val="20"/>
          <w:szCs w:val="20"/>
          <w:lang w:val="en-US"/>
        </w:rPr>
        <w:t>The cultural</w:t>
      </w:r>
      <w:r w:rsidR="00AE2D81">
        <w:rPr>
          <w:rFonts w:ascii="Tw Cen MT" w:hAnsi="Tw Cen MT" w:cstheme="majorHAnsi"/>
          <w:sz w:val="20"/>
          <w:szCs w:val="20"/>
          <w:lang w:val="en-US"/>
        </w:rPr>
        <w:t>/context</w:t>
      </w:r>
      <w:r w:rsidR="00EC69D0">
        <w:rPr>
          <w:rFonts w:ascii="Tw Cen MT" w:hAnsi="Tw Cen MT" w:cstheme="majorHAnsi"/>
          <w:sz w:val="20"/>
          <w:szCs w:val="20"/>
          <w:lang w:val="en-US"/>
        </w:rPr>
        <w:t>ual</w:t>
      </w:r>
      <w:r>
        <w:rPr>
          <w:rFonts w:ascii="Tw Cen MT" w:hAnsi="Tw Cen MT" w:cstheme="majorHAnsi"/>
          <w:sz w:val="20"/>
          <w:szCs w:val="20"/>
          <w:lang w:val="en-US"/>
        </w:rPr>
        <w:t xml:space="preserve"> expert: </w:t>
      </w:r>
      <w:r w:rsidR="00F42977">
        <w:rPr>
          <w:rFonts w:ascii="Tw Cen MT" w:hAnsi="Tw Cen MT" w:cstheme="majorHAnsi"/>
          <w:sz w:val="20"/>
          <w:szCs w:val="20"/>
          <w:lang w:val="en-US"/>
        </w:rPr>
        <w:t>Gives information on</w:t>
      </w:r>
      <w:r w:rsidR="00AE2D81">
        <w:rPr>
          <w:rFonts w:ascii="Tw Cen MT" w:hAnsi="Tw Cen MT" w:cstheme="majorHAnsi"/>
          <w:sz w:val="20"/>
          <w:szCs w:val="20"/>
          <w:lang w:val="en-US"/>
        </w:rPr>
        <w:t xml:space="preserve"> </w:t>
      </w:r>
      <w:r w:rsidR="00607182">
        <w:rPr>
          <w:rFonts w:ascii="Tw Cen MT" w:hAnsi="Tw Cen MT" w:cstheme="majorHAnsi"/>
          <w:sz w:val="20"/>
          <w:szCs w:val="20"/>
          <w:lang w:val="en-US"/>
        </w:rPr>
        <w:t>what</w:t>
      </w:r>
      <w:r w:rsidR="00AE2D81">
        <w:rPr>
          <w:rFonts w:ascii="Tw Cen MT" w:hAnsi="Tw Cen MT" w:cstheme="majorHAnsi"/>
          <w:sz w:val="20"/>
          <w:szCs w:val="20"/>
          <w:lang w:val="en-US"/>
        </w:rPr>
        <w:t xml:space="preserve"> is</w:t>
      </w:r>
      <w:r w:rsidR="003F7221">
        <w:rPr>
          <w:rFonts w:ascii="Tw Cen MT" w:hAnsi="Tw Cen MT" w:cstheme="majorHAnsi"/>
          <w:sz w:val="20"/>
          <w:szCs w:val="20"/>
          <w:lang w:val="en-US"/>
        </w:rPr>
        <w:t xml:space="preserve"> already known</w:t>
      </w:r>
      <w:r w:rsidR="00AE2D81">
        <w:rPr>
          <w:rFonts w:ascii="Tw Cen MT" w:hAnsi="Tw Cen MT" w:cstheme="majorHAnsi"/>
          <w:sz w:val="20"/>
          <w:szCs w:val="20"/>
          <w:lang w:val="en-US"/>
        </w:rPr>
        <w:t>, what issues are worth paying specific attention to, in the context</w:t>
      </w:r>
      <w:r w:rsidR="003F7221">
        <w:rPr>
          <w:rFonts w:ascii="Tw Cen MT" w:hAnsi="Tw Cen MT" w:cstheme="majorHAnsi"/>
          <w:sz w:val="20"/>
          <w:szCs w:val="20"/>
          <w:lang w:val="en-US"/>
        </w:rPr>
        <w:t>,</w:t>
      </w:r>
      <w:r w:rsidR="00AE2D81">
        <w:rPr>
          <w:rFonts w:ascii="Tw Cen MT" w:hAnsi="Tw Cen MT" w:cstheme="majorHAnsi"/>
          <w:sz w:val="20"/>
          <w:szCs w:val="20"/>
          <w:lang w:val="en-US"/>
        </w:rPr>
        <w:t xml:space="preserve"> </w:t>
      </w:r>
      <w:r w:rsidR="00607182">
        <w:rPr>
          <w:rFonts w:ascii="Tw Cen MT" w:hAnsi="Tw Cen MT" w:cstheme="majorHAnsi"/>
          <w:sz w:val="20"/>
          <w:szCs w:val="20"/>
          <w:lang w:val="en-US"/>
        </w:rPr>
        <w:t>what the cultural sensitivities are</w:t>
      </w:r>
      <w:r w:rsidR="00AE2D81">
        <w:rPr>
          <w:rFonts w:ascii="Tw Cen MT" w:hAnsi="Tw Cen MT" w:cstheme="majorHAnsi"/>
          <w:sz w:val="20"/>
          <w:szCs w:val="20"/>
          <w:lang w:val="en-US"/>
        </w:rPr>
        <w:t xml:space="preserve">, and </w:t>
      </w:r>
      <w:r w:rsidR="003F7221">
        <w:rPr>
          <w:rFonts w:ascii="Tw Cen MT" w:hAnsi="Tw Cen MT" w:cstheme="majorHAnsi"/>
          <w:sz w:val="20"/>
          <w:szCs w:val="20"/>
          <w:lang w:val="en-US"/>
        </w:rPr>
        <w:t xml:space="preserve">how to best </w:t>
      </w:r>
      <w:r w:rsidR="00AE2D81">
        <w:rPr>
          <w:rFonts w:ascii="Tw Cen MT" w:hAnsi="Tw Cen MT" w:cstheme="majorHAnsi"/>
          <w:sz w:val="20"/>
          <w:szCs w:val="20"/>
          <w:lang w:val="en-US"/>
        </w:rPr>
        <w:t xml:space="preserve">obtain needed information in the context. </w:t>
      </w:r>
    </w:p>
    <w:p w14:paraId="3C316DF1" w14:textId="2E5D0FBE" w:rsidR="009F34B2" w:rsidRPr="0082266E" w:rsidRDefault="009F34B2" w:rsidP="00F12770">
      <w:pPr>
        <w:pStyle w:val="Geenafstand"/>
        <w:rPr>
          <w:rFonts w:ascii="Tw Cen MT" w:hAnsi="Tw Cen MT" w:cs="Arial"/>
          <w:i/>
          <w:sz w:val="28"/>
          <w:u w:val="single"/>
          <w:lang w:val="en-US"/>
        </w:rPr>
      </w:pPr>
    </w:p>
    <w:p w14:paraId="7C92725C" w14:textId="084177A3" w:rsidR="009F34B2" w:rsidRDefault="009F34B2" w:rsidP="009F34B2">
      <w:pPr>
        <w:pStyle w:val="Geenafstand"/>
        <w:jc w:val="both"/>
        <w:rPr>
          <w:rFonts w:ascii="Tw Cen MT" w:hAnsi="Tw Cen MT" w:cstheme="majorHAnsi"/>
          <w:sz w:val="20"/>
          <w:szCs w:val="20"/>
          <w:lang w:val="en-US"/>
        </w:rPr>
      </w:pPr>
      <w:r w:rsidRPr="0082266E">
        <w:rPr>
          <w:rFonts w:ascii="Tw Cen MT" w:hAnsi="Tw Cen MT" w:cstheme="majorHAnsi"/>
          <w:sz w:val="20"/>
          <w:szCs w:val="20"/>
          <w:lang w:val="en-US"/>
        </w:rPr>
        <w:t>While DTM has the responsibility of</w:t>
      </w:r>
      <w:r>
        <w:rPr>
          <w:rFonts w:ascii="Tw Cen MT" w:hAnsi="Tw Cen MT" w:cstheme="majorHAnsi"/>
          <w:sz w:val="20"/>
          <w:szCs w:val="20"/>
          <w:lang w:val="en-US"/>
        </w:rPr>
        <w:t xml:space="preserve"> collecting, processing and</w:t>
      </w:r>
      <w:r w:rsidRPr="0082266E">
        <w:rPr>
          <w:rFonts w:ascii="Tw Cen MT" w:hAnsi="Tw Cen MT" w:cstheme="majorHAnsi"/>
          <w:sz w:val="20"/>
          <w:szCs w:val="20"/>
          <w:lang w:val="en-US"/>
        </w:rPr>
        <w:t xml:space="preserve"> sharing results as soon as possible with partners, it is the responsibility of GBV </w:t>
      </w:r>
      <w:r>
        <w:rPr>
          <w:rFonts w:ascii="Tw Cen MT" w:hAnsi="Tw Cen MT" w:cstheme="majorHAnsi"/>
          <w:sz w:val="20"/>
          <w:szCs w:val="20"/>
          <w:lang w:val="en-US"/>
        </w:rPr>
        <w:t>sub-c</w:t>
      </w:r>
      <w:r w:rsidRPr="0082266E">
        <w:rPr>
          <w:rFonts w:ascii="Tw Cen MT" w:hAnsi="Tw Cen MT" w:cstheme="majorHAnsi"/>
          <w:sz w:val="20"/>
          <w:szCs w:val="20"/>
          <w:lang w:val="en-US"/>
        </w:rPr>
        <w:t xml:space="preserve">luster coordinators and IMOs to interpret relevant results and use information for response. </w:t>
      </w:r>
      <w:r w:rsidRPr="006C081F">
        <w:rPr>
          <w:rFonts w:ascii="Tw Cen MT" w:hAnsi="Tw Cen MT" w:cstheme="majorHAnsi"/>
          <w:sz w:val="20"/>
          <w:szCs w:val="20"/>
          <w:lang w:val="en-US"/>
        </w:rPr>
        <w:t xml:space="preserve"> </w:t>
      </w:r>
      <w:r w:rsidRPr="00F12770">
        <w:rPr>
          <w:rFonts w:ascii="Tw Cen MT" w:hAnsi="Tw Cen MT" w:cstheme="majorHAnsi"/>
          <w:sz w:val="20"/>
          <w:szCs w:val="20"/>
          <w:lang w:val="en-US"/>
        </w:rPr>
        <w:t xml:space="preserve">IMOs and Coordinators should also identify the necessary changes to the questions over time. </w:t>
      </w:r>
      <w:r>
        <w:rPr>
          <w:rFonts w:ascii="Tw Cen MT" w:hAnsi="Tw Cen MT" w:cstheme="majorHAnsi"/>
          <w:i/>
          <w:sz w:val="20"/>
          <w:szCs w:val="20"/>
          <w:lang w:val="en-US"/>
        </w:rPr>
        <w:t xml:space="preserve">Example: </w:t>
      </w:r>
      <w:r>
        <w:rPr>
          <w:rFonts w:ascii="Tw Cen MT" w:hAnsi="Tw Cen MT" w:cstheme="majorHAnsi"/>
          <w:sz w:val="20"/>
          <w:szCs w:val="20"/>
          <w:lang w:val="en-US"/>
        </w:rPr>
        <w:t xml:space="preserve">The question “are women avoiding certain areas in the camp?” is included into the questionnaire, with the aim to find out whether women avoid certain areas – and to then do a follow up assessment finding out which areas women avoid and whether this is linked to risk of GBV. Month after month, the responses to this question are “no” for around 98% of key informants. This means that either a) there are no areas in the camp that women avoid or b) the question is not phrased in a way that yields a useful response. Therefore the GBV coordinator and IMO can either consider to rephrase the question, to take it out, or to propose an alternative question that may better capture this information. </w:t>
      </w:r>
    </w:p>
    <w:p w14:paraId="1838D99F" w14:textId="77777777" w:rsidR="0001540A" w:rsidRPr="00CB5782" w:rsidRDefault="0001540A" w:rsidP="0001540A">
      <w:pPr>
        <w:pStyle w:val="Geenafstand"/>
        <w:jc w:val="both"/>
        <w:rPr>
          <w:rFonts w:ascii="Tw Cen MT" w:hAnsi="Tw Cen MT" w:cstheme="majorHAnsi"/>
          <w:sz w:val="20"/>
          <w:szCs w:val="20"/>
          <w:lang w:val="en-US"/>
        </w:rPr>
      </w:pPr>
    </w:p>
    <w:p w14:paraId="58017350" w14:textId="4EB56438" w:rsidR="0001540A" w:rsidRPr="00986EA4" w:rsidRDefault="003F6DE3" w:rsidP="0001540A">
      <w:pPr>
        <w:pStyle w:val="Geenafstand"/>
        <w:jc w:val="both"/>
        <w:rPr>
          <w:rFonts w:ascii="Tw Cen MT" w:hAnsi="Tw Cen MT" w:cstheme="majorHAnsi"/>
          <w:sz w:val="24"/>
          <w:szCs w:val="20"/>
          <w:lang w:val="en-US"/>
        </w:rPr>
      </w:pPr>
      <w:r w:rsidRPr="00986EA4">
        <w:rPr>
          <w:rFonts w:ascii="Tw Cen MT" w:hAnsi="Tw Cen MT" w:cstheme="majorHAnsi"/>
          <w:sz w:val="24"/>
          <w:szCs w:val="20"/>
          <w:lang w:val="en-US"/>
        </w:rPr>
        <w:t>What is the methodology behind DTM?</w:t>
      </w:r>
    </w:p>
    <w:p w14:paraId="4AB1BA00" w14:textId="2EBE5107" w:rsidR="008E51B9" w:rsidRPr="00CB5782" w:rsidRDefault="0001540A" w:rsidP="0001540A">
      <w:pPr>
        <w:pStyle w:val="Geenafstand"/>
        <w:jc w:val="both"/>
        <w:rPr>
          <w:rFonts w:ascii="Tw Cen MT" w:hAnsi="Tw Cen MT" w:cstheme="majorHAnsi"/>
          <w:sz w:val="20"/>
          <w:szCs w:val="20"/>
          <w:lang w:val="en-US"/>
        </w:rPr>
      </w:pPr>
      <w:r w:rsidRPr="00CB5782">
        <w:rPr>
          <w:rFonts w:ascii="Tw Cen MT" w:hAnsi="Tw Cen MT" w:cstheme="majorHAnsi"/>
          <w:sz w:val="20"/>
          <w:szCs w:val="20"/>
          <w:lang w:val="en-US"/>
        </w:rPr>
        <w:t xml:space="preserve">Like the questionnaire, the methodology </w:t>
      </w:r>
      <w:r w:rsidR="00AE2D81">
        <w:rPr>
          <w:rFonts w:ascii="Tw Cen MT" w:hAnsi="Tw Cen MT" w:cstheme="majorHAnsi"/>
          <w:sz w:val="20"/>
          <w:szCs w:val="20"/>
          <w:lang w:val="en-US"/>
        </w:rPr>
        <w:t xml:space="preserve">may </w:t>
      </w:r>
      <w:r w:rsidRPr="00CB5782">
        <w:rPr>
          <w:rFonts w:ascii="Tw Cen MT" w:hAnsi="Tw Cen MT" w:cstheme="majorHAnsi"/>
          <w:sz w:val="20"/>
          <w:szCs w:val="20"/>
          <w:lang w:val="en-US"/>
        </w:rPr>
        <w:t xml:space="preserve">also differ. However, in most contexts, the questionnaire is largely administered through </w:t>
      </w:r>
      <w:r w:rsidRPr="00CB5782">
        <w:rPr>
          <w:rFonts w:ascii="Tw Cen MT" w:hAnsi="Tw Cen MT" w:cstheme="majorHAnsi"/>
          <w:b/>
          <w:sz w:val="20"/>
          <w:szCs w:val="20"/>
          <w:lang w:val="en-US"/>
        </w:rPr>
        <w:t>key informant interviews</w:t>
      </w:r>
      <w:r w:rsidR="008E51B9" w:rsidRPr="00CB5782">
        <w:rPr>
          <w:rFonts w:ascii="Tw Cen MT" w:hAnsi="Tw Cen MT" w:cstheme="majorHAnsi"/>
          <w:b/>
          <w:sz w:val="20"/>
          <w:szCs w:val="20"/>
          <w:lang w:val="en-US"/>
        </w:rPr>
        <w:t>.</w:t>
      </w:r>
      <w:r w:rsidRPr="00CB5782">
        <w:rPr>
          <w:rFonts w:ascii="Tw Cen MT" w:hAnsi="Tw Cen MT" w:cstheme="majorHAnsi"/>
          <w:b/>
          <w:sz w:val="20"/>
          <w:szCs w:val="20"/>
          <w:lang w:val="en-US"/>
        </w:rPr>
        <w:t xml:space="preserve"> </w:t>
      </w:r>
      <w:r w:rsidR="005818A3">
        <w:rPr>
          <w:rFonts w:ascii="Tw Cen MT" w:hAnsi="Tw Cen MT" w:cstheme="majorHAnsi"/>
          <w:sz w:val="20"/>
          <w:szCs w:val="20"/>
          <w:lang w:val="en-US"/>
        </w:rPr>
        <w:t>T</w:t>
      </w:r>
      <w:r w:rsidR="008E51B9" w:rsidRPr="00CB5782">
        <w:rPr>
          <w:rFonts w:ascii="Tw Cen MT" w:hAnsi="Tw Cen MT" w:cstheme="majorHAnsi"/>
          <w:sz w:val="20"/>
          <w:szCs w:val="20"/>
          <w:lang w:val="en-US"/>
        </w:rPr>
        <w:t xml:space="preserve">hese key informant interviews are </w:t>
      </w:r>
      <w:r w:rsidR="005818A3">
        <w:rPr>
          <w:rFonts w:ascii="Tw Cen MT" w:hAnsi="Tw Cen MT" w:cstheme="majorHAnsi"/>
          <w:sz w:val="20"/>
          <w:szCs w:val="20"/>
          <w:lang w:val="en-US"/>
        </w:rPr>
        <w:t xml:space="preserve">normally </w:t>
      </w:r>
      <w:r w:rsidR="008E51B9" w:rsidRPr="00CB5782">
        <w:rPr>
          <w:rFonts w:ascii="Tw Cen MT" w:hAnsi="Tw Cen MT" w:cstheme="majorHAnsi"/>
          <w:sz w:val="20"/>
          <w:szCs w:val="20"/>
          <w:lang w:val="en-US"/>
        </w:rPr>
        <w:t>done face to face</w:t>
      </w:r>
      <w:r w:rsidR="005818A3">
        <w:rPr>
          <w:rFonts w:ascii="Tw Cen MT" w:hAnsi="Tw Cen MT" w:cstheme="majorHAnsi"/>
          <w:sz w:val="20"/>
          <w:szCs w:val="20"/>
          <w:lang w:val="en-US"/>
        </w:rPr>
        <w:t>. However, when access is not possible</w:t>
      </w:r>
      <w:r w:rsidR="008E51B9" w:rsidRPr="00CB5782">
        <w:rPr>
          <w:rFonts w:ascii="Tw Cen MT" w:hAnsi="Tw Cen MT" w:cstheme="majorHAnsi"/>
          <w:sz w:val="20"/>
          <w:szCs w:val="20"/>
          <w:lang w:val="en-US"/>
        </w:rPr>
        <w:t>,</w:t>
      </w:r>
      <w:r w:rsidR="005818A3">
        <w:rPr>
          <w:rFonts w:ascii="Tw Cen MT" w:hAnsi="Tw Cen MT" w:cstheme="majorHAnsi"/>
          <w:sz w:val="20"/>
          <w:szCs w:val="20"/>
          <w:lang w:val="en-US"/>
        </w:rPr>
        <w:t xml:space="preserve"> they may be done </w:t>
      </w:r>
      <w:r w:rsidR="008E51B9" w:rsidRPr="00CB5782">
        <w:rPr>
          <w:rFonts w:ascii="Tw Cen MT" w:hAnsi="Tw Cen MT" w:cstheme="majorHAnsi"/>
          <w:sz w:val="20"/>
          <w:szCs w:val="20"/>
          <w:lang w:val="en-US"/>
        </w:rPr>
        <w:t xml:space="preserve">by phone. </w:t>
      </w:r>
    </w:p>
    <w:p w14:paraId="128A0C15" w14:textId="4A695545" w:rsidR="00F12770" w:rsidRDefault="00F12770" w:rsidP="0001540A">
      <w:pPr>
        <w:pStyle w:val="Geenafstand"/>
        <w:jc w:val="both"/>
        <w:rPr>
          <w:rFonts w:ascii="Tw Cen MT" w:hAnsi="Tw Cen MT" w:cstheme="majorHAnsi"/>
          <w:sz w:val="20"/>
          <w:szCs w:val="20"/>
          <w:lang w:val="en-US"/>
        </w:rPr>
      </w:pPr>
    </w:p>
    <w:p w14:paraId="45F91AAC" w14:textId="008113D3" w:rsidR="00E43655" w:rsidRDefault="00E43655" w:rsidP="0001540A">
      <w:pPr>
        <w:pStyle w:val="Geenafstand"/>
        <w:jc w:val="both"/>
        <w:rPr>
          <w:rFonts w:ascii="Tw Cen MT" w:hAnsi="Tw Cen MT" w:cstheme="majorHAnsi"/>
          <w:sz w:val="20"/>
          <w:szCs w:val="20"/>
          <w:lang w:val="en-US"/>
        </w:rPr>
      </w:pPr>
    </w:p>
    <w:p w14:paraId="72E2493C" w14:textId="6E207CDB" w:rsidR="00E43655" w:rsidRDefault="00E43655" w:rsidP="0001540A">
      <w:pPr>
        <w:pStyle w:val="Geenafstand"/>
        <w:jc w:val="both"/>
        <w:rPr>
          <w:rFonts w:ascii="Tw Cen MT" w:hAnsi="Tw Cen MT" w:cstheme="majorHAnsi"/>
          <w:sz w:val="20"/>
          <w:szCs w:val="20"/>
          <w:lang w:val="en-US"/>
        </w:rPr>
      </w:pPr>
    </w:p>
    <w:p w14:paraId="6F62BEE3" w14:textId="77777777" w:rsidR="00E43655" w:rsidRDefault="00E43655" w:rsidP="0001540A">
      <w:pPr>
        <w:pStyle w:val="Geenafstand"/>
        <w:jc w:val="both"/>
        <w:rPr>
          <w:rFonts w:ascii="Tw Cen MT" w:hAnsi="Tw Cen MT" w:cstheme="majorHAnsi"/>
          <w:sz w:val="20"/>
          <w:szCs w:val="20"/>
          <w:lang w:val="en-US"/>
        </w:rPr>
      </w:pPr>
    </w:p>
    <w:p w14:paraId="1F396818" w14:textId="4B8A451B" w:rsidR="008E51B9" w:rsidRPr="00CB5782" w:rsidRDefault="008E51B9" w:rsidP="0001540A">
      <w:pPr>
        <w:pStyle w:val="Geenafstand"/>
        <w:jc w:val="both"/>
        <w:rPr>
          <w:rFonts w:ascii="Tw Cen MT" w:hAnsi="Tw Cen MT" w:cstheme="majorHAnsi"/>
          <w:sz w:val="20"/>
          <w:szCs w:val="20"/>
          <w:lang w:val="en-US"/>
        </w:rPr>
      </w:pPr>
      <w:r w:rsidRPr="00CB5782">
        <w:rPr>
          <w:rFonts w:ascii="Tw Cen MT" w:hAnsi="Tw Cen MT" w:cstheme="majorHAnsi"/>
          <w:sz w:val="20"/>
          <w:szCs w:val="20"/>
          <w:lang w:val="en-US"/>
        </w:rPr>
        <w:lastRenderedPageBreak/>
        <w:t xml:space="preserve">There are two possibilities for key informants: </w:t>
      </w:r>
    </w:p>
    <w:p w14:paraId="785B2F3E" w14:textId="56374DE9" w:rsidR="008E51B9" w:rsidRPr="00CB5782" w:rsidRDefault="008E51B9" w:rsidP="008E51B9">
      <w:pPr>
        <w:pStyle w:val="Geenafstand"/>
        <w:numPr>
          <w:ilvl w:val="0"/>
          <w:numId w:val="1"/>
        </w:numPr>
        <w:jc w:val="both"/>
        <w:rPr>
          <w:rFonts w:ascii="Tw Cen MT" w:hAnsi="Tw Cen MT" w:cstheme="majorHAnsi"/>
          <w:sz w:val="20"/>
          <w:szCs w:val="20"/>
          <w:lang w:val="en-US"/>
        </w:rPr>
      </w:pPr>
      <w:r w:rsidRPr="00CB5782">
        <w:rPr>
          <w:rFonts w:ascii="Tw Cen MT" w:hAnsi="Tw Cen MT" w:cstheme="majorHAnsi"/>
          <w:b/>
          <w:sz w:val="20"/>
          <w:szCs w:val="20"/>
          <w:lang w:val="en-US"/>
        </w:rPr>
        <w:t xml:space="preserve">Specialized key informant: </w:t>
      </w:r>
      <w:r w:rsidRPr="00CB5782">
        <w:rPr>
          <w:rFonts w:ascii="Tw Cen MT" w:hAnsi="Tw Cen MT" w:cstheme="majorHAnsi"/>
          <w:sz w:val="20"/>
          <w:szCs w:val="20"/>
          <w:lang w:val="en-US"/>
        </w:rPr>
        <w:t xml:space="preserve">Are those who have explicit knowledge of the subject at hand. The entire questionnaire can consist of different parts. It can be decided that some questions are asked to specialized key informants. For example, questions on whether a referral pathway for GBV exists in a certain camp, can be asked to the camp manager at the location. It is assumed that this specialized informant is in a good position to provide an answer. </w:t>
      </w:r>
      <w:r w:rsidR="00D86AFF">
        <w:rPr>
          <w:rFonts w:ascii="Tw Cen MT" w:hAnsi="Tw Cen MT" w:cstheme="majorHAnsi"/>
          <w:sz w:val="20"/>
          <w:szCs w:val="20"/>
          <w:lang w:val="en-US"/>
        </w:rPr>
        <w:t xml:space="preserve">However, </w:t>
      </w:r>
      <w:r w:rsidR="00AF514F">
        <w:rPr>
          <w:rFonts w:ascii="Tw Cen MT" w:hAnsi="Tw Cen MT" w:cstheme="majorHAnsi"/>
          <w:sz w:val="20"/>
          <w:szCs w:val="20"/>
          <w:lang w:val="en-US"/>
        </w:rPr>
        <w:t xml:space="preserve">DTM can usually not rely on </w:t>
      </w:r>
      <w:r w:rsidR="00D86AFF">
        <w:rPr>
          <w:rFonts w:ascii="Tw Cen MT" w:hAnsi="Tw Cen MT" w:cstheme="majorHAnsi"/>
          <w:sz w:val="20"/>
          <w:szCs w:val="20"/>
          <w:lang w:val="en-US"/>
        </w:rPr>
        <w:t>specialized key informants</w:t>
      </w:r>
      <w:r w:rsidR="00AF514F">
        <w:rPr>
          <w:rFonts w:ascii="Tw Cen MT" w:hAnsi="Tw Cen MT" w:cstheme="majorHAnsi"/>
          <w:sz w:val="20"/>
          <w:szCs w:val="20"/>
          <w:lang w:val="en-US"/>
        </w:rPr>
        <w:t>.</w:t>
      </w:r>
      <w:r w:rsidR="00D86AFF">
        <w:rPr>
          <w:rFonts w:ascii="Tw Cen MT" w:hAnsi="Tw Cen MT" w:cstheme="majorHAnsi"/>
          <w:sz w:val="20"/>
          <w:szCs w:val="20"/>
          <w:lang w:val="en-US"/>
        </w:rPr>
        <w:t xml:space="preserve"> </w:t>
      </w:r>
    </w:p>
    <w:p w14:paraId="5D304526" w14:textId="143DC01F" w:rsidR="007F5E63" w:rsidRDefault="008E51B9" w:rsidP="007F5E63">
      <w:pPr>
        <w:pStyle w:val="Geenafstand"/>
        <w:numPr>
          <w:ilvl w:val="0"/>
          <w:numId w:val="1"/>
        </w:numPr>
        <w:jc w:val="both"/>
        <w:rPr>
          <w:rFonts w:ascii="Tw Cen MT" w:hAnsi="Tw Cen MT" w:cstheme="majorHAnsi"/>
          <w:sz w:val="20"/>
          <w:szCs w:val="20"/>
          <w:lang w:val="en-US"/>
        </w:rPr>
      </w:pPr>
      <w:r w:rsidRPr="00CB5782">
        <w:rPr>
          <w:rFonts w:ascii="Tw Cen MT" w:hAnsi="Tw Cen MT" w:cstheme="majorHAnsi"/>
          <w:b/>
          <w:sz w:val="20"/>
          <w:szCs w:val="20"/>
          <w:lang w:val="en-US"/>
        </w:rPr>
        <w:t xml:space="preserve">Non-specialized key informant: </w:t>
      </w:r>
      <w:r w:rsidR="00607182">
        <w:rPr>
          <w:rFonts w:ascii="Tw Cen MT" w:hAnsi="Tw Cen MT" w:cstheme="majorHAnsi"/>
          <w:sz w:val="20"/>
          <w:szCs w:val="20"/>
          <w:lang w:val="en-US"/>
        </w:rPr>
        <w:t>U</w:t>
      </w:r>
      <w:r w:rsidR="00AF514F">
        <w:rPr>
          <w:rFonts w:ascii="Tw Cen MT" w:hAnsi="Tw Cen MT" w:cstheme="majorHAnsi"/>
          <w:sz w:val="20"/>
          <w:szCs w:val="20"/>
          <w:lang w:val="en-US"/>
        </w:rPr>
        <w:t>sually belong to</w:t>
      </w:r>
      <w:r w:rsidRPr="00CB5782">
        <w:rPr>
          <w:rFonts w:ascii="Tw Cen MT" w:hAnsi="Tw Cen MT" w:cstheme="majorHAnsi"/>
          <w:sz w:val="20"/>
          <w:szCs w:val="20"/>
          <w:lang w:val="en-US"/>
        </w:rPr>
        <w:t xml:space="preserve"> the affected population</w:t>
      </w:r>
      <w:r w:rsidR="00AF514F">
        <w:rPr>
          <w:rFonts w:ascii="Tw Cen MT" w:hAnsi="Tw Cen MT" w:cstheme="majorHAnsi"/>
          <w:sz w:val="20"/>
          <w:szCs w:val="20"/>
          <w:lang w:val="en-US"/>
        </w:rPr>
        <w:t xml:space="preserve"> </w:t>
      </w:r>
      <w:r w:rsidRPr="00CB5782">
        <w:rPr>
          <w:rFonts w:ascii="Tw Cen MT" w:hAnsi="Tw Cen MT" w:cstheme="majorHAnsi"/>
          <w:sz w:val="20"/>
          <w:szCs w:val="20"/>
          <w:lang w:val="en-US"/>
        </w:rPr>
        <w:t>in the</w:t>
      </w:r>
      <w:r w:rsidR="00AF514F">
        <w:rPr>
          <w:rFonts w:ascii="Tw Cen MT" w:hAnsi="Tw Cen MT" w:cstheme="majorHAnsi"/>
          <w:sz w:val="20"/>
          <w:szCs w:val="20"/>
          <w:lang w:val="en-US"/>
        </w:rPr>
        <w:t xml:space="preserve"> assessed </w:t>
      </w:r>
      <w:r w:rsidRPr="00CB5782">
        <w:rPr>
          <w:rFonts w:ascii="Tw Cen MT" w:hAnsi="Tw Cen MT" w:cstheme="majorHAnsi"/>
          <w:sz w:val="20"/>
          <w:szCs w:val="20"/>
          <w:lang w:val="en-US"/>
        </w:rPr>
        <w:t xml:space="preserve"> </w:t>
      </w:r>
      <w:r w:rsidR="00AF514F">
        <w:rPr>
          <w:rFonts w:ascii="Tw Cen MT" w:hAnsi="Tw Cen MT" w:cstheme="majorHAnsi"/>
          <w:sz w:val="20"/>
          <w:szCs w:val="20"/>
          <w:lang w:val="en-US"/>
        </w:rPr>
        <w:t xml:space="preserve">location (e.g., </w:t>
      </w:r>
      <w:r w:rsidR="00AF514F" w:rsidRPr="00CB5782">
        <w:rPr>
          <w:rFonts w:ascii="Tw Cen MT" w:hAnsi="Tw Cen MT" w:cstheme="majorHAnsi"/>
          <w:sz w:val="20"/>
          <w:szCs w:val="20"/>
          <w:lang w:val="en-US"/>
        </w:rPr>
        <w:t>an Internally Displaced Person</w:t>
      </w:r>
      <w:r w:rsidR="00AF514F">
        <w:rPr>
          <w:rFonts w:ascii="Tw Cen MT" w:hAnsi="Tw Cen MT" w:cstheme="majorHAnsi"/>
          <w:sz w:val="20"/>
          <w:szCs w:val="20"/>
          <w:lang w:val="en-US"/>
        </w:rPr>
        <w:t>, a community leader, a member of the IDP committee</w:t>
      </w:r>
      <w:r w:rsidR="00607182">
        <w:rPr>
          <w:rFonts w:ascii="Tw Cen MT" w:hAnsi="Tw Cen MT" w:cstheme="majorHAnsi"/>
          <w:sz w:val="20"/>
          <w:szCs w:val="20"/>
          <w:lang w:val="en-US"/>
        </w:rPr>
        <w:t>, etc.</w:t>
      </w:r>
      <w:r w:rsidR="00AF514F">
        <w:rPr>
          <w:rFonts w:ascii="Tw Cen MT" w:hAnsi="Tw Cen MT" w:cstheme="majorHAnsi"/>
          <w:sz w:val="20"/>
          <w:szCs w:val="20"/>
          <w:lang w:val="en-US"/>
        </w:rPr>
        <w:t>)</w:t>
      </w:r>
      <w:r w:rsidRPr="00CB5782">
        <w:rPr>
          <w:rFonts w:ascii="Tw Cen MT" w:hAnsi="Tw Cen MT" w:cstheme="majorHAnsi"/>
          <w:sz w:val="20"/>
          <w:szCs w:val="20"/>
          <w:lang w:val="en-US"/>
        </w:rPr>
        <w:t xml:space="preserve">. </w:t>
      </w:r>
      <w:r w:rsidR="00AF514F">
        <w:rPr>
          <w:rFonts w:ascii="Tw Cen MT" w:hAnsi="Tw Cen MT" w:cstheme="majorHAnsi"/>
          <w:sz w:val="20"/>
          <w:szCs w:val="20"/>
          <w:lang w:val="en-US"/>
        </w:rPr>
        <w:t xml:space="preserve">Key informants are selected on the basis of their knowledge of the community and </w:t>
      </w:r>
      <w:r w:rsidR="007F5E63" w:rsidRPr="00CB5782">
        <w:rPr>
          <w:rFonts w:ascii="Tw Cen MT" w:hAnsi="Tw Cen MT" w:cstheme="majorHAnsi"/>
          <w:sz w:val="20"/>
          <w:szCs w:val="20"/>
          <w:lang w:val="en-US"/>
        </w:rPr>
        <w:t xml:space="preserve">provide answers to the questions to his/her best knowledge. </w:t>
      </w:r>
      <w:r w:rsidR="00AF514F">
        <w:rPr>
          <w:rFonts w:ascii="Tw Cen MT" w:hAnsi="Tw Cen MT" w:cstheme="majorHAnsi"/>
          <w:sz w:val="20"/>
          <w:szCs w:val="20"/>
          <w:lang w:val="en-US"/>
        </w:rPr>
        <w:t xml:space="preserve"> It is important to remember that in most cases, the</w:t>
      </w:r>
      <w:r w:rsidR="007F5E63" w:rsidRPr="00CB5782">
        <w:rPr>
          <w:rFonts w:ascii="Tw Cen MT" w:hAnsi="Tw Cen MT" w:cstheme="majorHAnsi"/>
          <w:sz w:val="20"/>
          <w:szCs w:val="20"/>
          <w:lang w:val="en-US"/>
        </w:rPr>
        <w:t xml:space="preserve"> key informant is  </w:t>
      </w:r>
      <w:r w:rsidR="007F5E63" w:rsidRPr="00CB5782">
        <w:rPr>
          <w:rFonts w:ascii="Tw Cen MT" w:hAnsi="Tw Cen MT" w:cstheme="majorHAnsi"/>
          <w:i/>
          <w:sz w:val="20"/>
          <w:szCs w:val="20"/>
          <w:lang w:val="en-US"/>
        </w:rPr>
        <w:t>male.</w:t>
      </w:r>
      <w:r w:rsidR="007F5E63" w:rsidRPr="00CB5782">
        <w:rPr>
          <w:rFonts w:ascii="Tw Cen MT" w:hAnsi="Tw Cen MT" w:cstheme="majorHAnsi"/>
          <w:sz w:val="20"/>
          <w:szCs w:val="20"/>
          <w:lang w:val="en-US"/>
        </w:rPr>
        <w:t xml:space="preserve"> The number of interviews per area </w:t>
      </w:r>
      <w:r w:rsidR="007F5E63" w:rsidRPr="00CB5782">
        <w:rPr>
          <w:rFonts w:ascii="Tw Cen MT" w:hAnsi="Tw Cen MT" w:cstheme="majorHAnsi"/>
          <w:i/>
          <w:sz w:val="20"/>
          <w:szCs w:val="20"/>
          <w:lang w:val="en-US"/>
        </w:rPr>
        <w:t>differs per context</w:t>
      </w:r>
      <w:r w:rsidR="007F5E63" w:rsidRPr="00CB5782">
        <w:rPr>
          <w:rFonts w:ascii="Tw Cen MT" w:hAnsi="Tw Cen MT" w:cstheme="majorHAnsi"/>
          <w:sz w:val="20"/>
          <w:szCs w:val="20"/>
          <w:lang w:val="en-US"/>
        </w:rPr>
        <w:t xml:space="preserve">. </w:t>
      </w:r>
      <w:r w:rsidR="00D86AFF">
        <w:rPr>
          <w:rFonts w:ascii="Tw Cen MT" w:hAnsi="Tw Cen MT" w:cstheme="majorHAnsi"/>
          <w:sz w:val="20"/>
          <w:szCs w:val="20"/>
          <w:lang w:val="en-US"/>
        </w:rPr>
        <w:t>Non-specialized key informants are most often used in DTM.</w:t>
      </w:r>
    </w:p>
    <w:p w14:paraId="716B750D" w14:textId="77777777" w:rsidR="00C8216B" w:rsidRDefault="00C8216B" w:rsidP="005D25D1">
      <w:pPr>
        <w:pStyle w:val="Geenafstand"/>
        <w:jc w:val="both"/>
        <w:rPr>
          <w:rFonts w:ascii="Tw Cen MT" w:hAnsi="Tw Cen MT" w:cstheme="majorHAnsi"/>
          <w:sz w:val="20"/>
          <w:szCs w:val="20"/>
          <w:lang w:val="en-US"/>
        </w:rPr>
      </w:pPr>
    </w:p>
    <w:p w14:paraId="5A015020" w14:textId="112C92E7" w:rsidR="0001540A" w:rsidRDefault="008E51B9" w:rsidP="0001540A">
      <w:pPr>
        <w:pStyle w:val="Geenafstand"/>
        <w:jc w:val="both"/>
        <w:rPr>
          <w:rFonts w:ascii="Tw Cen MT" w:hAnsi="Tw Cen MT" w:cstheme="majorHAnsi"/>
          <w:sz w:val="20"/>
          <w:szCs w:val="20"/>
          <w:lang w:val="en-US"/>
        </w:rPr>
      </w:pPr>
      <w:r w:rsidRPr="00CB5782">
        <w:rPr>
          <w:rFonts w:ascii="Tw Cen MT" w:hAnsi="Tw Cen MT" w:cstheme="majorHAnsi"/>
          <w:b/>
          <w:sz w:val="20"/>
          <w:szCs w:val="20"/>
          <w:lang w:val="en-US"/>
        </w:rPr>
        <w:t>Enumerators</w:t>
      </w:r>
      <w:r w:rsidR="0001540A" w:rsidRPr="00CB5782">
        <w:rPr>
          <w:rFonts w:ascii="Tw Cen MT" w:hAnsi="Tw Cen MT" w:cstheme="majorHAnsi"/>
          <w:b/>
          <w:sz w:val="20"/>
          <w:szCs w:val="20"/>
          <w:lang w:val="en-US"/>
        </w:rPr>
        <w:t xml:space="preserve"> </w:t>
      </w:r>
      <w:r w:rsidR="0001540A" w:rsidRPr="00CB5782">
        <w:rPr>
          <w:rFonts w:ascii="Tw Cen MT" w:hAnsi="Tw Cen MT" w:cstheme="majorHAnsi"/>
          <w:sz w:val="20"/>
          <w:szCs w:val="20"/>
          <w:lang w:val="en-US"/>
        </w:rPr>
        <w:t>who are locally hired and trained in aspects of</w:t>
      </w:r>
      <w:r w:rsidRPr="00CB5782">
        <w:rPr>
          <w:rFonts w:ascii="Tw Cen MT" w:hAnsi="Tw Cen MT" w:cstheme="majorHAnsi"/>
          <w:sz w:val="20"/>
          <w:szCs w:val="20"/>
          <w:lang w:val="en-US"/>
        </w:rPr>
        <w:t xml:space="preserve"> consent,</w:t>
      </w:r>
      <w:r w:rsidR="0001540A" w:rsidRPr="00CB5782">
        <w:rPr>
          <w:rFonts w:ascii="Tw Cen MT" w:hAnsi="Tw Cen MT" w:cstheme="majorHAnsi"/>
          <w:sz w:val="20"/>
          <w:szCs w:val="20"/>
          <w:lang w:val="en-US"/>
        </w:rPr>
        <w:t xml:space="preserve"> data collection, the DTM questionnaire, </w:t>
      </w:r>
      <w:r w:rsidRPr="00CB5782">
        <w:rPr>
          <w:rFonts w:ascii="Tw Cen MT" w:hAnsi="Tw Cen MT" w:cstheme="majorHAnsi"/>
          <w:sz w:val="20"/>
          <w:szCs w:val="20"/>
          <w:lang w:val="en-US"/>
        </w:rPr>
        <w:t xml:space="preserve">etc. are carrying out these interviews. These enumerators of course are </w:t>
      </w:r>
      <w:r w:rsidRPr="00CB5782">
        <w:rPr>
          <w:rFonts w:ascii="Tw Cen MT" w:hAnsi="Tw Cen MT" w:cstheme="majorHAnsi"/>
          <w:b/>
          <w:sz w:val="20"/>
          <w:szCs w:val="20"/>
          <w:lang w:val="en-US"/>
        </w:rPr>
        <w:t>not GBV experts</w:t>
      </w:r>
      <w:r w:rsidRPr="00CB5782">
        <w:rPr>
          <w:rFonts w:ascii="Tw Cen MT" w:hAnsi="Tw Cen MT" w:cstheme="majorHAnsi"/>
          <w:sz w:val="20"/>
          <w:szCs w:val="20"/>
          <w:lang w:val="en-US"/>
        </w:rPr>
        <w:t xml:space="preserve">, which means the type of questions asked on GBV should be carefully considered. Enumerators are trained on referring people to GBV services </w:t>
      </w:r>
      <w:r w:rsidR="00AF514F">
        <w:rPr>
          <w:rFonts w:ascii="Tw Cen MT" w:hAnsi="Tw Cen MT" w:cstheme="majorHAnsi"/>
          <w:sz w:val="20"/>
          <w:szCs w:val="20"/>
          <w:lang w:val="en-US"/>
        </w:rPr>
        <w:t>when</w:t>
      </w:r>
      <w:r w:rsidR="00AF514F" w:rsidRPr="00CB5782">
        <w:rPr>
          <w:rFonts w:ascii="Tw Cen MT" w:hAnsi="Tw Cen MT" w:cstheme="majorHAnsi"/>
          <w:sz w:val="20"/>
          <w:szCs w:val="20"/>
          <w:lang w:val="en-US"/>
        </w:rPr>
        <w:t xml:space="preserve"> </w:t>
      </w:r>
      <w:r w:rsidRPr="00CB5782">
        <w:rPr>
          <w:rFonts w:ascii="Tw Cen MT" w:hAnsi="Tw Cen MT" w:cstheme="majorHAnsi"/>
          <w:sz w:val="20"/>
          <w:szCs w:val="20"/>
          <w:lang w:val="en-US"/>
        </w:rPr>
        <w:t>an issue come</w:t>
      </w:r>
      <w:r w:rsidR="00AF514F">
        <w:rPr>
          <w:rFonts w:ascii="Tw Cen MT" w:hAnsi="Tw Cen MT" w:cstheme="majorHAnsi"/>
          <w:sz w:val="20"/>
          <w:szCs w:val="20"/>
          <w:lang w:val="en-US"/>
        </w:rPr>
        <w:t>s</w:t>
      </w:r>
      <w:r w:rsidRPr="00CB5782">
        <w:rPr>
          <w:rFonts w:ascii="Tw Cen MT" w:hAnsi="Tw Cen MT" w:cstheme="majorHAnsi"/>
          <w:sz w:val="20"/>
          <w:szCs w:val="20"/>
          <w:lang w:val="en-US"/>
        </w:rPr>
        <w:t xml:space="preserve"> up during an interview</w:t>
      </w:r>
      <w:r w:rsidR="007F5E63" w:rsidRPr="00CB5782">
        <w:rPr>
          <w:rFonts w:ascii="Tw Cen MT" w:hAnsi="Tw Cen MT" w:cstheme="majorHAnsi"/>
          <w:sz w:val="20"/>
          <w:szCs w:val="20"/>
          <w:lang w:val="en-US"/>
        </w:rPr>
        <w:t xml:space="preserve"> – however, questions should not probe for such issues to be discussed</w:t>
      </w:r>
      <w:r w:rsidRPr="00CB5782">
        <w:rPr>
          <w:rFonts w:ascii="Tw Cen MT" w:hAnsi="Tw Cen MT" w:cstheme="majorHAnsi"/>
          <w:sz w:val="20"/>
          <w:szCs w:val="20"/>
          <w:lang w:val="en-US"/>
        </w:rPr>
        <w:t>.</w:t>
      </w:r>
      <w:r w:rsidR="00AF514F">
        <w:rPr>
          <w:rFonts w:ascii="Tw Cen MT" w:hAnsi="Tw Cen MT" w:cstheme="majorHAnsi"/>
          <w:sz w:val="20"/>
          <w:szCs w:val="20"/>
          <w:lang w:val="en-US"/>
        </w:rPr>
        <w:t xml:space="preserve"> It is important that GBV colleagues provide the referral path to DTM, so that such persons can be adequately and safely referred. </w:t>
      </w:r>
    </w:p>
    <w:p w14:paraId="7FBC7099" w14:textId="41E9B10A" w:rsidR="002552E7" w:rsidRDefault="002552E7" w:rsidP="0001540A">
      <w:pPr>
        <w:pStyle w:val="Geenafstand"/>
        <w:jc w:val="both"/>
        <w:rPr>
          <w:rFonts w:ascii="Tw Cen MT" w:hAnsi="Tw Cen MT" w:cstheme="majorHAnsi"/>
          <w:sz w:val="20"/>
          <w:szCs w:val="20"/>
          <w:lang w:val="en-US"/>
        </w:rPr>
      </w:pPr>
    </w:p>
    <w:p w14:paraId="66F96A08" w14:textId="7F7F7F3F" w:rsidR="0035746E" w:rsidRPr="00D04335" w:rsidRDefault="0035746E" w:rsidP="00607182">
      <w:pPr>
        <w:pStyle w:val="Geenafstand"/>
        <w:shd w:val="clear" w:color="auto" w:fill="F2F2F2" w:themeFill="background1" w:themeFillShade="F2"/>
        <w:tabs>
          <w:tab w:val="right" w:pos="9072"/>
        </w:tabs>
        <w:rPr>
          <w:rFonts w:ascii="Tw Cen MT" w:hAnsi="Tw Cen MT" w:cstheme="majorHAnsi"/>
          <w:i/>
          <w:sz w:val="28"/>
          <w:szCs w:val="20"/>
          <w:lang w:val="en-US"/>
        </w:rPr>
      </w:pPr>
      <w:r w:rsidRPr="00B54B16">
        <w:rPr>
          <w:rFonts w:ascii="Tw Cen MT" w:hAnsi="Tw Cen MT" w:cstheme="majorHAnsi"/>
          <w:i/>
          <w:sz w:val="24"/>
          <w:szCs w:val="20"/>
          <w:lang w:val="en-US"/>
        </w:rPr>
        <w:t>What are some of the limitations of using Key Informant Interviews?</w:t>
      </w:r>
      <w:r w:rsidR="00607182">
        <w:rPr>
          <w:rFonts w:ascii="Tw Cen MT" w:hAnsi="Tw Cen MT" w:cstheme="majorHAnsi"/>
          <w:i/>
          <w:sz w:val="28"/>
          <w:szCs w:val="20"/>
          <w:lang w:val="en-US"/>
        </w:rPr>
        <w:tab/>
      </w:r>
    </w:p>
    <w:p w14:paraId="0965B3FD" w14:textId="77777777" w:rsidR="0035746E" w:rsidRPr="00D86AFF" w:rsidRDefault="0035746E" w:rsidP="00607182">
      <w:pPr>
        <w:pStyle w:val="Geenafstand"/>
        <w:shd w:val="clear" w:color="auto" w:fill="F2F2F2" w:themeFill="background1" w:themeFillShade="F2"/>
        <w:rPr>
          <w:rFonts w:ascii="Tw Cen MT" w:hAnsi="Tw Cen MT" w:cstheme="majorHAnsi"/>
          <w:sz w:val="20"/>
          <w:szCs w:val="20"/>
          <w:lang w:val="en-US"/>
        </w:rPr>
      </w:pPr>
      <w:r w:rsidRPr="00D86AFF">
        <w:rPr>
          <w:rFonts w:ascii="Tw Cen MT" w:hAnsi="Tw Cen MT" w:cstheme="majorHAnsi"/>
          <w:sz w:val="20"/>
          <w:szCs w:val="20"/>
          <w:lang w:val="en-US"/>
        </w:rPr>
        <w:t xml:space="preserve">Key informant interviews are perfectly valid data collection techniques. However, due to the difficulty of administering large questionnaires to large numbers of people it should be kept in mind that: </w:t>
      </w:r>
    </w:p>
    <w:p w14:paraId="1DB6A6C9" w14:textId="5618950C" w:rsidR="0035746E" w:rsidRPr="00D86AFF" w:rsidRDefault="0035746E" w:rsidP="00607182">
      <w:pPr>
        <w:pStyle w:val="Geenafstand"/>
        <w:numPr>
          <w:ilvl w:val="0"/>
          <w:numId w:val="3"/>
        </w:numPr>
        <w:shd w:val="clear" w:color="auto" w:fill="F2F2F2" w:themeFill="background1" w:themeFillShade="F2"/>
        <w:rPr>
          <w:rFonts w:ascii="Tw Cen MT" w:hAnsi="Tw Cen MT" w:cstheme="majorHAnsi"/>
          <w:sz w:val="20"/>
          <w:szCs w:val="20"/>
          <w:lang w:val="en-US"/>
        </w:rPr>
      </w:pPr>
      <w:r w:rsidRPr="00D86AFF">
        <w:rPr>
          <w:rFonts w:ascii="Tw Cen MT" w:hAnsi="Tw Cen MT" w:cstheme="majorHAnsi"/>
          <w:sz w:val="20"/>
          <w:szCs w:val="20"/>
          <w:lang w:val="en-US"/>
        </w:rPr>
        <w:t xml:space="preserve">The non-specialized key informants are often </w:t>
      </w:r>
      <w:r w:rsidRPr="00D86AFF">
        <w:rPr>
          <w:rFonts w:ascii="Tw Cen MT" w:hAnsi="Tw Cen MT" w:cstheme="majorHAnsi"/>
          <w:b/>
          <w:sz w:val="20"/>
          <w:szCs w:val="20"/>
          <w:lang w:val="en-US"/>
        </w:rPr>
        <w:t xml:space="preserve">male. </w:t>
      </w:r>
      <w:r w:rsidRPr="00D86AFF">
        <w:rPr>
          <w:rFonts w:ascii="Tw Cen MT" w:hAnsi="Tw Cen MT" w:cstheme="majorHAnsi"/>
          <w:sz w:val="20"/>
          <w:szCs w:val="20"/>
          <w:lang w:val="en-US"/>
        </w:rPr>
        <w:t xml:space="preserve">Particularly for GBV, this means questions should be carefully considered. </w:t>
      </w:r>
      <w:r w:rsidRPr="00D86AFF">
        <w:rPr>
          <w:rFonts w:ascii="Tw Cen MT" w:hAnsi="Tw Cen MT" w:cstheme="majorHAnsi"/>
          <w:i/>
          <w:sz w:val="20"/>
          <w:szCs w:val="20"/>
          <w:lang w:val="en-US"/>
        </w:rPr>
        <w:t xml:space="preserve">Which questions answered by a male key informant will give me quality information on </w:t>
      </w:r>
      <w:r w:rsidR="00986EA4">
        <w:rPr>
          <w:rFonts w:ascii="Tw Cen MT" w:hAnsi="Tw Cen MT" w:cstheme="majorHAnsi"/>
          <w:i/>
          <w:sz w:val="20"/>
          <w:szCs w:val="20"/>
          <w:lang w:val="en-US"/>
        </w:rPr>
        <w:t>GBV protection needs</w:t>
      </w:r>
      <w:r w:rsidRPr="00D86AFF">
        <w:rPr>
          <w:rFonts w:ascii="Tw Cen MT" w:hAnsi="Tw Cen MT" w:cstheme="majorHAnsi"/>
          <w:i/>
          <w:sz w:val="20"/>
          <w:szCs w:val="20"/>
          <w:lang w:val="en-US"/>
        </w:rPr>
        <w:t xml:space="preserve"> or on GBV risks?</w:t>
      </w:r>
    </w:p>
    <w:p w14:paraId="03293781" w14:textId="77777777" w:rsidR="0035746E" w:rsidRDefault="0035746E" w:rsidP="00607182">
      <w:pPr>
        <w:pStyle w:val="Geenafstand"/>
        <w:numPr>
          <w:ilvl w:val="0"/>
          <w:numId w:val="3"/>
        </w:numPr>
        <w:shd w:val="clear" w:color="auto" w:fill="F2F2F2" w:themeFill="background1" w:themeFillShade="F2"/>
        <w:rPr>
          <w:rFonts w:ascii="Tw Cen MT" w:hAnsi="Tw Cen MT" w:cstheme="majorHAnsi"/>
          <w:sz w:val="20"/>
          <w:szCs w:val="20"/>
          <w:lang w:val="en-US"/>
        </w:rPr>
      </w:pPr>
      <w:r w:rsidRPr="00D86AFF">
        <w:rPr>
          <w:rFonts w:ascii="Tw Cen MT" w:hAnsi="Tw Cen MT" w:cstheme="majorHAnsi"/>
          <w:sz w:val="20"/>
          <w:szCs w:val="20"/>
          <w:lang w:val="en-US"/>
        </w:rPr>
        <w:t xml:space="preserve">The number of interviews done are usually </w:t>
      </w:r>
      <w:r w:rsidRPr="00D86AFF">
        <w:rPr>
          <w:rFonts w:ascii="Tw Cen MT" w:hAnsi="Tw Cen MT" w:cstheme="majorHAnsi"/>
          <w:b/>
          <w:sz w:val="20"/>
          <w:szCs w:val="20"/>
          <w:lang w:val="en-US"/>
        </w:rPr>
        <w:t>not a representative sample</w:t>
      </w:r>
      <w:r w:rsidRPr="00D86AFF">
        <w:rPr>
          <w:rFonts w:ascii="Tw Cen MT" w:hAnsi="Tw Cen MT" w:cstheme="majorHAnsi"/>
          <w:sz w:val="20"/>
          <w:szCs w:val="20"/>
          <w:lang w:val="en-US"/>
        </w:rPr>
        <w:t>. In other words, the results cannot be generalized for the entire affected population.</w:t>
      </w:r>
    </w:p>
    <w:p w14:paraId="5F42F21B" w14:textId="77777777" w:rsidR="0035746E" w:rsidRPr="00D86AFF" w:rsidRDefault="0035746E" w:rsidP="00607182">
      <w:pPr>
        <w:pStyle w:val="Geenafstand"/>
        <w:numPr>
          <w:ilvl w:val="0"/>
          <w:numId w:val="3"/>
        </w:numPr>
        <w:shd w:val="clear" w:color="auto" w:fill="F2F2F2" w:themeFill="background1" w:themeFillShade="F2"/>
        <w:rPr>
          <w:rFonts w:ascii="Tw Cen MT" w:hAnsi="Tw Cen MT" w:cstheme="majorHAnsi"/>
          <w:sz w:val="20"/>
          <w:szCs w:val="20"/>
          <w:lang w:val="en-US"/>
        </w:rPr>
      </w:pPr>
      <w:r w:rsidRPr="00AF514F">
        <w:rPr>
          <w:rFonts w:ascii="Tw Cen MT" w:hAnsi="Tw Cen MT" w:cstheme="majorHAnsi"/>
          <w:sz w:val="20"/>
          <w:szCs w:val="20"/>
          <w:lang w:val="en-US"/>
        </w:rPr>
        <w:t xml:space="preserve">The key informant interviews are usually done through </w:t>
      </w:r>
      <w:r w:rsidRPr="00AF514F">
        <w:rPr>
          <w:rFonts w:ascii="Tw Cen MT" w:hAnsi="Tw Cen MT" w:cstheme="majorHAnsi"/>
          <w:b/>
          <w:sz w:val="20"/>
          <w:szCs w:val="20"/>
          <w:lang w:val="en-US"/>
        </w:rPr>
        <w:t>non-specialized key informants</w:t>
      </w:r>
      <w:r w:rsidRPr="00AF514F">
        <w:rPr>
          <w:rFonts w:ascii="Tw Cen MT" w:hAnsi="Tw Cen MT" w:cstheme="majorHAnsi"/>
          <w:sz w:val="20"/>
          <w:szCs w:val="20"/>
          <w:lang w:val="en-US"/>
        </w:rPr>
        <w:t>. Questions should be designed to obtain needed information from individuals who are not GBV experts</w:t>
      </w:r>
      <w:r>
        <w:rPr>
          <w:rFonts w:ascii="Tw Cen MT" w:hAnsi="Tw Cen MT" w:cstheme="majorHAnsi"/>
          <w:sz w:val="20"/>
          <w:szCs w:val="20"/>
          <w:lang w:val="en-US"/>
        </w:rPr>
        <w:t>, and are part of the local culture</w:t>
      </w:r>
      <w:r w:rsidRPr="00AF514F">
        <w:rPr>
          <w:rFonts w:ascii="Tw Cen MT" w:hAnsi="Tw Cen MT" w:cstheme="majorHAnsi"/>
          <w:sz w:val="20"/>
          <w:szCs w:val="20"/>
          <w:lang w:val="en-US"/>
        </w:rPr>
        <w:t xml:space="preserve">. </w:t>
      </w:r>
    </w:p>
    <w:p w14:paraId="3D39A19A" w14:textId="77777777" w:rsidR="0035746E" w:rsidRDefault="0035746E" w:rsidP="0001540A">
      <w:pPr>
        <w:pStyle w:val="Geenafstand"/>
        <w:jc w:val="both"/>
        <w:rPr>
          <w:rFonts w:ascii="Tw Cen MT" w:hAnsi="Tw Cen MT" w:cstheme="majorHAnsi"/>
          <w:sz w:val="20"/>
          <w:szCs w:val="20"/>
          <w:lang w:val="en-US"/>
        </w:rPr>
      </w:pPr>
    </w:p>
    <w:p w14:paraId="0F0EA990" w14:textId="731118BC" w:rsidR="00C8216B" w:rsidRDefault="00C8216B" w:rsidP="0001540A">
      <w:pPr>
        <w:pStyle w:val="Geenafstand"/>
        <w:jc w:val="both"/>
        <w:rPr>
          <w:rFonts w:ascii="Tw Cen MT" w:hAnsi="Tw Cen MT" w:cstheme="majorHAnsi"/>
          <w:sz w:val="20"/>
          <w:szCs w:val="20"/>
          <w:lang w:val="en-US"/>
        </w:rPr>
      </w:pPr>
    </w:p>
    <w:p w14:paraId="2A2CE44E" w14:textId="00D061F9" w:rsidR="00BB425C" w:rsidRPr="00607182" w:rsidRDefault="00FF653B" w:rsidP="00B54B16">
      <w:pPr>
        <w:pStyle w:val="Geenafstand"/>
        <w:numPr>
          <w:ilvl w:val="0"/>
          <w:numId w:val="21"/>
        </w:numPr>
        <w:rPr>
          <w:rFonts w:ascii="Tw Cen MT" w:hAnsi="Tw Cen MT" w:cs="Arial"/>
          <w:i/>
          <w:sz w:val="28"/>
          <w:u w:val="single"/>
          <w:lang w:val="en-US"/>
        </w:rPr>
      </w:pPr>
      <w:r>
        <w:rPr>
          <w:rFonts w:ascii="Tw Cen MT" w:hAnsi="Tw Cen MT" w:cs="Arial"/>
          <w:i/>
          <w:sz w:val="28"/>
          <w:u w:val="single"/>
          <w:lang w:val="en-US"/>
        </w:rPr>
        <w:t xml:space="preserve">What is the </w:t>
      </w:r>
      <w:r w:rsidR="00BB425C" w:rsidRPr="00607182">
        <w:rPr>
          <w:rFonts w:ascii="Tw Cen MT" w:hAnsi="Tw Cen MT" w:cs="Arial"/>
          <w:i/>
          <w:sz w:val="28"/>
          <w:u w:val="single"/>
          <w:lang w:val="en-US"/>
        </w:rPr>
        <w:t>DTM Field Companion</w:t>
      </w:r>
      <w:r w:rsidR="00300831">
        <w:rPr>
          <w:rFonts w:ascii="Tw Cen MT" w:hAnsi="Tw Cen MT" w:cs="Arial"/>
          <w:i/>
          <w:sz w:val="28"/>
          <w:u w:val="single"/>
          <w:lang w:val="en-US"/>
        </w:rPr>
        <w:t>?</w:t>
      </w:r>
    </w:p>
    <w:p w14:paraId="7BE02D22" w14:textId="665B9952" w:rsidR="00956271" w:rsidRDefault="00DB344F" w:rsidP="00D35A6E">
      <w:pPr>
        <w:pStyle w:val="Geenafstand"/>
        <w:jc w:val="both"/>
        <w:rPr>
          <w:rFonts w:ascii="Tw Cen MT" w:hAnsi="Tw Cen MT" w:cstheme="majorHAnsi"/>
          <w:sz w:val="20"/>
          <w:szCs w:val="20"/>
          <w:lang w:val="en-US"/>
        </w:rPr>
      </w:pPr>
      <w:r>
        <w:rPr>
          <w:rFonts w:ascii="Tw Cen MT" w:hAnsi="Tw Cen MT" w:cstheme="majorHAnsi"/>
          <w:sz w:val="20"/>
          <w:szCs w:val="20"/>
          <w:lang w:val="en-US"/>
        </w:rPr>
        <w:t xml:space="preserve">As </w:t>
      </w:r>
      <w:r w:rsidR="00956271">
        <w:rPr>
          <w:rFonts w:ascii="Tw Cen MT" w:hAnsi="Tw Cen MT" w:cstheme="majorHAnsi"/>
          <w:sz w:val="20"/>
          <w:szCs w:val="20"/>
          <w:lang w:val="en-US"/>
        </w:rPr>
        <w:t xml:space="preserve">mentioned above, the DTM questionnaire is designed on the field, by a collaboration between DTM and partners. At global level, however, DTM, Global Clusters and partners, including the global GBV AoR, have identified questions that the field operations can use in their DTM Location Assessments. </w:t>
      </w:r>
      <w:r w:rsidR="00E72B44">
        <w:rPr>
          <w:rFonts w:ascii="Tw Cen MT" w:hAnsi="Tw Cen MT" w:cstheme="majorHAnsi"/>
          <w:sz w:val="20"/>
          <w:szCs w:val="20"/>
          <w:lang w:val="en-US"/>
        </w:rPr>
        <w:t>These questions are included in the DTM Field Companion</w:t>
      </w:r>
      <w:r w:rsidR="00E72B44">
        <w:rPr>
          <w:rStyle w:val="Voetnootmarkering"/>
          <w:rFonts w:ascii="Tw Cen MT" w:hAnsi="Tw Cen MT" w:cstheme="majorHAnsi"/>
          <w:sz w:val="20"/>
          <w:szCs w:val="20"/>
          <w:lang w:val="en-US"/>
        </w:rPr>
        <w:footnoteReference w:id="1"/>
      </w:r>
      <w:r w:rsidR="001C2176">
        <w:rPr>
          <w:rFonts w:ascii="Tw Cen MT" w:hAnsi="Tw Cen MT" w:cstheme="majorHAnsi"/>
          <w:sz w:val="20"/>
          <w:szCs w:val="20"/>
          <w:lang w:val="en-US"/>
        </w:rPr>
        <w:t>.</w:t>
      </w:r>
    </w:p>
    <w:p w14:paraId="78221F16" w14:textId="77777777" w:rsidR="00956271" w:rsidRDefault="00956271" w:rsidP="00D35A6E">
      <w:pPr>
        <w:pStyle w:val="Geenafstand"/>
        <w:jc w:val="both"/>
        <w:rPr>
          <w:rFonts w:ascii="Tw Cen MT" w:hAnsi="Tw Cen MT" w:cstheme="majorHAnsi"/>
          <w:sz w:val="20"/>
          <w:szCs w:val="20"/>
          <w:lang w:val="en-US"/>
        </w:rPr>
      </w:pPr>
    </w:p>
    <w:p w14:paraId="0AC92FDE" w14:textId="739390F9" w:rsidR="005A18CB" w:rsidRDefault="005A18CB" w:rsidP="00D35A6E">
      <w:pPr>
        <w:pStyle w:val="Geenafstand"/>
        <w:jc w:val="both"/>
        <w:rPr>
          <w:rFonts w:ascii="Tw Cen MT" w:hAnsi="Tw Cen MT" w:cstheme="majorHAnsi"/>
          <w:b/>
          <w:sz w:val="20"/>
          <w:szCs w:val="20"/>
          <w:lang w:val="en-US"/>
        </w:rPr>
      </w:pPr>
      <w:r>
        <w:rPr>
          <w:rFonts w:ascii="Tw Cen MT" w:hAnsi="Tw Cen MT" w:cstheme="majorHAnsi"/>
          <w:b/>
          <w:sz w:val="20"/>
          <w:szCs w:val="20"/>
          <w:lang w:val="en-US"/>
        </w:rPr>
        <w:t xml:space="preserve">The questions </w:t>
      </w:r>
      <w:r w:rsidR="00986EA4">
        <w:rPr>
          <w:rFonts w:ascii="Tw Cen MT" w:hAnsi="Tw Cen MT" w:cstheme="majorHAnsi"/>
          <w:b/>
          <w:sz w:val="20"/>
          <w:szCs w:val="20"/>
          <w:lang w:val="en-US"/>
        </w:rPr>
        <w:t xml:space="preserve">on GBV </w:t>
      </w:r>
      <w:r>
        <w:rPr>
          <w:rFonts w:ascii="Tw Cen MT" w:hAnsi="Tw Cen MT" w:cstheme="majorHAnsi"/>
          <w:b/>
          <w:sz w:val="20"/>
          <w:szCs w:val="20"/>
          <w:lang w:val="en-US"/>
        </w:rPr>
        <w:t xml:space="preserve">that have been included as options in the field companion have been carefully considered – these questions are thought to be </w:t>
      </w:r>
    </w:p>
    <w:p w14:paraId="0BF52237" w14:textId="25173D33" w:rsidR="005A18CB" w:rsidRDefault="005A18CB" w:rsidP="005A18CB">
      <w:pPr>
        <w:pStyle w:val="Geenafstand"/>
        <w:numPr>
          <w:ilvl w:val="0"/>
          <w:numId w:val="19"/>
        </w:numPr>
        <w:jc w:val="both"/>
        <w:rPr>
          <w:rFonts w:ascii="Tw Cen MT" w:hAnsi="Tw Cen MT" w:cstheme="majorHAnsi"/>
          <w:b/>
          <w:sz w:val="20"/>
          <w:szCs w:val="20"/>
          <w:lang w:val="en-US"/>
        </w:rPr>
      </w:pPr>
      <w:r>
        <w:rPr>
          <w:rFonts w:ascii="Tw Cen MT" w:hAnsi="Tw Cen MT" w:cstheme="majorHAnsi"/>
          <w:b/>
          <w:sz w:val="20"/>
          <w:szCs w:val="20"/>
          <w:lang w:val="en-US"/>
        </w:rPr>
        <w:t xml:space="preserve">Safe and ethical to ask </w:t>
      </w:r>
    </w:p>
    <w:p w14:paraId="7263121B" w14:textId="081ACCAC" w:rsidR="005A18CB" w:rsidRDefault="005A18CB" w:rsidP="005A18CB">
      <w:pPr>
        <w:pStyle w:val="Geenafstand"/>
        <w:numPr>
          <w:ilvl w:val="0"/>
          <w:numId w:val="19"/>
        </w:numPr>
        <w:jc w:val="both"/>
        <w:rPr>
          <w:rFonts w:ascii="Tw Cen MT" w:hAnsi="Tw Cen MT" w:cstheme="majorHAnsi"/>
          <w:b/>
          <w:sz w:val="20"/>
          <w:szCs w:val="20"/>
          <w:lang w:val="en-US"/>
        </w:rPr>
      </w:pPr>
      <w:r>
        <w:rPr>
          <w:rFonts w:ascii="Tw Cen MT" w:hAnsi="Tw Cen MT" w:cstheme="majorHAnsi"/>
          <w:b/>
          <w:sz w:val="20"/>
          <w:szCs w:val="20"/>
          <w:lang w:val="en-US"/>
        </w:rPr>
        <w:t>Give information that can be used for strategic or operational decision making</w:t>
      </w:r>
    </w:p>
    <w:p w14:paraId="74DB0061" w14:textId="4150EBD8" w:rsidR="005A18CB" w:rsidRDefault="005A18CB" w:rsidP="005A18CB">
      <w:pPr>
        <w:pStyle w:val="Geenafstand"/>
        <w:numPr>
          <w:ilvl w:val="0"/>
          <w:numId w:val="19"/>
        </w:numPr>
        <w:jc w:val="both"/>
        <w:rPr>
          <w:rFonts w:ascii="Tw Cen MT" w:hAnsi="Tw Cen MT" w:cstheme="majorHAnsi"/>
          <w:b/>
          <w:sz w:val="20"/>
          <w:szCs w:val="20"/>
          <w:lang w:val="en-US"/>
        </w:rPr>
      </w:pPr>
      <w:r>
        <w:rPr>
          <w:rFonts w:ascii="Tw Cen MT" w:hAnsi="Tw Cen MT" w:cstheme="majorHAnsi"/>
          <w:b/>
          <w:sz w:val="20"/>
          <w:szCs w:val="20"/>
          <w:lang w:val="en-US"/>
        </w:rPr>
        <w:t>May yield useful responses keeping in mind that often male, non-specialized key informants answer the questions.</w:t>
      </w:r>
    </w:p>
    <w:p w14:paraId="5C94A085" w14:textId="20148E05" w:rsidR="005D25D1" w:rsidRPr="00CB5782" w:rsidRDefault="005D25D1" w:rsidP="00D35A6E">
      <w:pPr>
        <w:pStyle w:val="Geenafstand"/>
        <w:jc w:val="both"/>
        <w:rPr>
          <w:rFonts w:ascii="Tw Cen MT" w:hAnsi="Tw Cen MT" w:cstheme="majorHAnsi"/>
          <w:sz w:val="20"/>
          <w:szCs w:val="20"/>
          <w:lang w:val="en-US"/>
        </w:rPr>
      </w:pPr>
    </w:p>
    <w:p w14:paraId="67B0D150" w14:textId="2000240E" w:rsidR="00956271" w:rsidRDefault="00956271" w:rsidP="00FC676D">
      <w:pPr>
        <w:pStyle w:val="Geenafstand"/>
        <w:jc w:val="both"/>
        <w:rPr>
          <w:rFonts w:ascii="Tw Cen MT" w:hAnsi="Tw Cen MT" w:cstheme="majorHAnsi"/>
          <w:sz w:val="20"/>
          <w:szCs w:val="20"/>
          <w:lang w:val="en-US"/>
        </w:rPr>
      </w:pPr>
      <w:r>
        <w:rPr>
          <w:rFonts w:ascii="Tw Cen MT" w:hAnsi="Tw Cen MT" w:cstheme="majorHAnsi"/>
          <w:sz w:val="20"/>
          <w:szCs w:val="20"/>
          <w:lang w:val="en-US"/>
        </w:rPr>
        <w:t>The</w:t>
      </w:r>
      <w:r w:rsidR="007F5E63" w:rsidRPr="00CB5782">
        <w:rPr>
          <w:rFonts w:ascii="Tw Cen MT" w:hAnsi="Tw Cen MT" w:cstheme="majorHAnsi"/>
          <w:sz w:val="20"/>
          <w:szCs w:val="20"/>
          <w:lang w:val="en-US"/>
        </w:rPr>
        <w:t xml:space="preserve"> DTM coordinator, the GBV sub-cluster Information Management Officer (IMO), and the GBV sub-cluster coordinator</w:t>
      </w:r>
      <w:r>
        <w:rPr>
          <w:rFonts w:ascii="Tw Cen MT" w:hAnsi="Tw Cen MT" w:cstheme="majorHAnsi"/>
          <w:sz w:val="20"/>
          <w:szCs w:val="20"/>
          <w:lang w:val="en-US"/>
        </w:rPr>
        <w:t xml:space="preserve"> cooperate </w:t>
      </w:r>
      <w:r w:rsidR="007F5E63" w:rsidRPr="00CB5782">
        <w:rPr>
          <w:rFonts w:ascii="Tw Cen MT" w:hAnsi="Tw Cen MT" w:cstheme="majorHAnsi"/>
          <w:sz w:val="20"/>
          <w:szCs w:val="20"/>
          <w:lang w:val="en-US"/>
        </w:rPr>
        <w:t>to pick</w:t>
      </w:r>
      <w:r w:rsidR="00DB344F">
        <w:rPr>
          <w:rFonts w:ascii="Tw Cen MT" w:hAnsi="Tw Cen MT" w:cstheme="majorHAnsi"/>
          <w:sz w:val="20"/>
          <w:szCs w:val="20"/>
          <w:lang w:val="en-US"/>
        </w:rPr>
        <w:t xml:space="preserve"> and adapt</w:t>
      </w:r>
      <w:r w:rsidR="007F5E63" w:rsidRPr="00CB5782">
        <w:rPr>
          <w:rFonts w:ascii="Tw Cen MT" w:hAnsi="Tw Cen MT" w:cstheme="majorHAnsi"/>
          <w:sz w:val="20"/>
          <w:szCs w:val="20"/>
          <w:lang w:val="en-US"/>
        </w:rPr>
        <w:t xml:space="preserve"> the questions </w:t>
      </w:r>
      <w:r w:rsidR="00DB344F">
        <w:rPr>
          <w:rFonts w:ascii="Tw Cen MT" w:hAnsi="Tw Cen MT" w:cstheme="majorHAnsi"/>
          <w:sz w:val="20"/>
          <w:szCs w:val="20"/>
          <w:lang w:val="en-US"/>
        </w:rPr>
        <w:t xml:space="preserve">from the </w:t>
      </w:r>
      <w:r>
        <w:rPr>
          <w:rFonts w:ascii="Tw Cen MT" w:hAnsi="Tw Cen MT" w:cstheme="majorHAnsi"/>
          <w:sz w:val="20"/>
          <w:szCs w:val="20"/>
          <w:lang w:val="en-US"/>
        </w:rPr>
        <w:t xml:space="preserve">Field Companion </w:t>
      </w:r>
      <w:r w:rsidR="007F5E63" w:rsidRPr="00CB5782">
        <w:rPr>
          <w:rFonts w:ascii="Tw Cen MT" w:hAnsi="Tw Cen MT" w:cstheme="majorHAnsi"/>
          <w:sz w:val="20"/>
          <w:szCs w:val="20"/>
          <w:lang w:val="en-US"/>
        </w:rPr>
        <w:t xml:space="preserve">that should be included in the DTM questionnaire in their context. </w:t>
      </w:r>
    </w:p>
    <w:p w14:paraId="2BC203AD" w14:textId="77777777" w:rsidR="00C05F79" w:rsidRDefault="00C05F79" w:rsidP="007F5E63">
      <w:pPr>
        <w:pStyle w:val="Geenafstand"/>
        <w:jc w:val="both"/>
        <w:rPr>
          <w:rFonts w:ascii="Tw Cen MT" w:hAnsi="Tw Cen MT" w:cstheme="majorHAnsi"/>
          <w:sz w:val="20"/>
          <w:szCs w:val="20"/>
          <w:lang w:val="en-US"/>
        </w:rPr>
      </w:pPr>
    </w:p>
    <w:p w14:paraId="0BF07459" w14:textId="0C78592D" w:rsidR="00C05F79" w:rsidRPr="00300831" w:rsidRDefault="00300831" w:rsidP="0082266E">
      <w:pPr>
        <w:pStyle w:val="Geenafstand"/>
        <w:rPr>
          <w:rFonts w:ascii="Tw Cen MT" w:hAnsi="Tw Cen MT" w:cs="Arial"/>
          <w:sz w:val="24"/>
          <w:lang w:val="en-US"/>
        </w:rPr>
      </w:pPr>
      <w:r>
        <w:rPr>
          <w:rFonts w:ascii="Tw Cen MT" w:hAnsi="Tw Cen MT" w:cs="Arial"/>
          <w:sz w:val="24"/>
          <w:lang w:val="en-US"/>
        </w:rPr>
        <w:t>What types of questions are i</w:t>
      </w:r>
      <w:r w:rsidR="00FF653B" w:rsidRPr="00300831">
        <w:rPr>
          <w:rFonts w:ascii="Tw Cen MT" w:hAnsi="Tw Cen MT" w:cs="Arial"/>
          <w:sz w:val="24"/>
          <w:lang w:val="en-US"/>
        </w:rPr>
        <w:t>n the DTM Field Companion</w:t>
      </w:r>
      <w:r>
        <w:rPr>
          <w:rFonts w:ascii="Tw Cen MT" w:hAnsi="Tw Cen MT" w:cs="Arial"/>
          <w:sz w:val="24"/>
          <w:lang w:val="en-US"/>
        </w:rPr>
        <w:t>?</w:t>
      </w:r>
    </w:p>
    <w:p w14:paraId="2B190129" w14:textId="1B45E992" w:rsidR="007F5E63" w:rsidRPr="00CB5782" w:rsidRDefault="000D326D" w:rsidP="007F5E63">
      <w:pPr>
        <w:pStyle w:val="Geenafstand"/>
        <w:jc w:val="both"/>
        <w:rPr>
          <w:rFonts w:ascii="Tw Cen MT" w:hAnsi="Tw Cen MT" w:cstheme="majorHAnsi"/>
          <w:sz w:val="20"/>
          <w:szCs w:val="20"/>
          <w:lang w:val="en-US"/>
        </w:rPr>
      </w:pPr>
      <w:r w:rsidRPr="00CB5782">
        <w:rPr>
          <w:rFonts w:ascii="Tw Cen MT" w:hAnsi="Tw Cen MT" w:cstheme="majorHAnsi"/>
          <w:sz w:val="20"/>
          <w:szCs w:val="20"/>
          <w:lang w:val="en-US"/>
        </w:rPr>
        <w:t xml:space="preserve">The </w:t>
      </w:r>
      <w:r w:rsidR="00424E80">
        <w:rPr>
          <w:rFonts w:ascii="Tw Cen MT" w:hAnsi="Tw Cen MT" w:cstheme="majorHAnsi"/>
          <w:sz w:val="20"/>
          <w:szCs w:val="20"/>
          <w:lang w:val="en-US"/>
        </w:rPr>
        <w:t xml:space="preserve">Field Companion </w:t>
      </w:r>
      <w:r w:rsidRPr="00CB5782">
        <w:rPr>
          <w:rFonts w:ascii="Tw Cen MT" w:hAnsi="Tw Cen MT" w:cstheme="majorHAnsi"/>
          <w:sz w:val="20"/>
          <w:szCs w:val="20"/>
          <w:lang w:val="en-US"/>
        </w:rPr>
        <w:t xml:space="preserve"> has questions that can largely be grouped into four different categories: </w:t>
      </w:r>
    </w:p>
    <w:p w14:paraId="794E3CB6" w14:textId="77777777" w:rsidR="000D326D" w:rsidRPr="00CB5782" w:rsidRDefault="000D326D" w:rsidP="007F5E63">
      <w:pPr>
        <w:pStyle w:val="Geenafstand"/>
        <w:jc w:val="both"/>
        <w:rPr>
          <w:rFonts w:ascii="Tw Cen MT" w:hAnsi="Tw Cen MT" w:cstheme="majorHAnsi"/>
          <w:sz w:val="20"/>
          <w:szCs w:val="20"/>
          <w:lang w:val="en-US"/>
        </w:rPr>
      </w:pPr>
    </w:p>
    <w:p w14:paraId="3E1C3C2F" w14:textId="39B6F7C2" w:rsidR="00764680" w:rsidRDefault="000D326D" w:rsidP="000D326D">
      <w:pPr>
        <w:pStyle w:val="Geenafstand"/>
        <w:numPr>
          <w:ilvl w:val="0"/>
          <w:numId w:val="5"/>
        </w:numPr>
        <w:jc w:val="both"/>
        <w:rPr>
          <w:rFonts w:ascii="Tw Cen MT" w:hAnsi="Tw Cen MT" w:cstheme="majorHAnsi"/>
          <w:sz w:val="20"/>
          <w:szCs w:val="20"/>
          <w:lang w:val="en-US"/>
        </w:rPr>
      </w:pPr>
      <w:r w:rsidRPr="00CB5782">
        <w:rPr>
          <w:rFonts w:ascii="Tw Cen MT" w:hAnsi="Tw Cen MT" w:cstheme="majorHAnsi"/>
          <w:b/>
          <w:sz w:val="20"/>
          <w:szCs w:val="20"/>
          <w:lang w:val="en-US"/>
        </w:rPr>
        <w:t>Availability of GBV services:</w:t>
      </w:r>
      <w:r w:rsidR="008C2F52" w:rsidRPr="00CB5782">
        <w:rPr>
          <w:rFonts w:ascii="Tw Cen MT" w:hAnsi="Tw Cen MT" w:cstheme="majorHAnsi"/>
          <w:b/>
          <w:sz w:val="20"/>
          <w:szCs w:val="20"/>
          <w:lang w:val="en-US"/>
        </w:rPr>
        <w:t xml:space="preserve"> </w:t>
      </w:r>
      <w:r w:rsidR="008C2F52" w:rsidRPr="00CB5782">
        <w:rPr>
          <w:rFonts w:ascii="Tw Cen MT" w:hAnsi="Tw Cen MT" w:cstheme="majorHAnsi"/>
          <w:sz w:val="20"/>
          <w:szCs w:val="20"/>
          <w:lang w:val="en-US"/>
        </w:rPr>
        <w:t xml:space="preserve">Looking at </w:t>
      </w:r>
      <w:r w:rsidR="00F12770">
        <w:rPr>
          <w:rFonts w:ascii="Tw Cen MT" w:hAnsi="Tw Cen MT" w:cstheme="majorHAnsi"/>
          <w:sz w:val="20"/>
          <w:szCs w:val="20"/>
          <w:lang w:val="en-US"/>
        </w:rPr>
        <w:t xml:space="preserve">whether </w:t>
      </w:r>
      <w:r w:rsidR="00DA08CD" w:rsidRPr="00CB5782">
        <w:rPr>
          <w:rFonts w:ascii="Tw Cen MT" w:hAnsi="Tw Cen MT" w:cstheme="majorHAnsi"/>
          <w:sz w:val="20"/>
          <w:szCs w:val="20"/>
          <w:lang w:val="en-US"/>
        </w:rPr>
        <w:t xml:space="preserve">GBV services such as women friendly spaces, case management services, etc. exist. </w:t>
      </w:r>
    </w:p>
    <w:p w14:paraId="429F7660" w14:textId="77777777" w:rsidR="00764680" w:rsidRDefault="00764680" w:rsidP="00764680">
      <w:pPr>
        <w:pStyle w:val="Geenafstand"/>
        <w:ind w:left="720"/>
        <w:jc w:val="both"/>
        <w:rPr>
          <w:rFonts w:ascii="Tw Cen MT" w:hAnsi="Tw Cen MT" w:cstheme="majorHAnsi"/>
          <w:b/>
          <w:i/>
          <w:sz w:val="20"/>
          <w:szCs w:val="20"/>
          <w:lang w:val="en-US"/>
        </w:rPr>
      </w:pPr>
    </w:p>
    <w:p w14:paraId="6830013C" w14:textId="72A71B45" w:rsidR="00764680" w:rsidRDefault="00764680" w:rsidP="00764680">
      <w:pPr>
        <w:pStyle w:val="Geenafstand"/>
        <w:ind w:left="720"/>
        <w:jc w:val="both"/>
        <w:rPr>
          <w:rFonts w:ascii="Tw Cen MT" w:hAnsi="Tw Cen MT" w:cstheme="majorHAnsi"/>
          <w:sz w:val="20"/>
          <w:szCs w:val="20"/>
          <w:lang w:val="en-US"/>
        </w:rPr>
      </w:pPr>
      <w:r>
        <w:rPr>
          <w:rFonts w:ascii="Tw Cen MT" w:hAnsi="Tw Cen MT" w:cstheme="majorHAnsi"/>
          <w:i/>
          <w:sz w:val="20"/>
          <w:szCs w:val="20"/>
          <w:lang w:val="en-US"/>
        </w:rPr>
        <w:t xml:space="preserve">Why include these? </w:t>
      </w:r>
      <w:r w:rsidR="00DA08CD" w:rsidRPr="00CB5782">
        <w:rPr>
          <w:rFonts w:ascii="Tw Cen MT" w:hAnsi="Tw Cen MT" w:cstheme="majorHAnsi"/>
          <w:sz w:val="20"/>
          <w:szCs w:val="20"/>
          <w:lang w:val="en-US"/>
        </w:rPr>
        <w:t>These questions can be asked to specialized key informants</w:t>
      </w:r>
      <w:r>
        <w:rPr>
          <w:rFonts w:ascii="Tw Cen MT" w:hAnsi="Tw Cen MT" w:cstheme="majorHAnsi"/>
          <w:sz w:val="20"/>
          <w:szCs w:val="20"/>
          <w:lang w:val="en-US"/>
        </w:rPr>
        <w:t xml:space="preserve"> </w:t>
      </w:r>
      <w:r w:rsidRPr="00CB5782">
        <w:rPr>
          <w:rFonts w:ascii="Tw Cen MT" w:hAnsi="Tw Cen MT" w:cstheme="majorHAnsi"/>
          <w:sz w:val="20"/>
          <w:szCs w:val="20"/>
          <w:lang w:val="en-US"/>
        </w:rPr>
        <w:t>or non-specialized key informants (does the affected population know the services you offer exist).</w:t>
      </w:r>
      <w:r>
        <w:rPr>
          <w:rFonts w:ascii="Tw Cen MT" w:hAnsi="Tw Cen MT" w:cstheme="majorHAnsi"/>
          <w:sz w:val="20"/>
          <w:szCs w:val="20"/>
          <w:lang w:val="en-US"/>
        </w:rPr>
        <w:t xml:space="preserve"> This can be done to </w:t>
      </w:r>
    </w:p>
    <w:p w14:paraId="5AEF4A5E" w14:textId="3B4BADE9" w:rsidR="00764680" w:rsidRDefault="00764680" w:rsidP="00764680">
      <w:pPr>
        <w:pStyle w:val="Geenafstand"/>
        <w:numPr>
          <w:ilvl w:val="0"/>
          <w:numId w:val="9"/>
        </w:numPr>
        <w:jc w:val="both"/>
        <w:rPr>
          <w:rFonts w:ascii="Tw Cen MT" w:hAnsi="Tw Cen MT" w:cstheme="majorHAnsi"/>
          <w:sz w:val="20"/>
          <w:szCs w:val="20"/>
          <w:lang w:val="en-US"/>
        </w:rPr>
      </w:pPr>
      <w:r>
        <w:rPr>
          <w:rFonts w:ascii="Tw Cen MT" w:hAnsi="Tw Cen MT" w:cstheme="majorHAnsi"/>
          <w:sz w:val="20"/>
          <w:szCs w:val="20"/>
          <w:lang w:val="en-US"/>
        </w:rPr>
        <w:t>at a beginning of an emergency, map out what services are available</w:t>
      </w:r>
    </w:p>
    <w:p w14:paraId="497C0282" w14:textId="6A6A390A" w:rsidR="000D326D" w:rsidRDefault="00DA08CD" w:rsidP="00764680">
      <w:pPr>
        <w:pStyle w:val="Geenafstand"/>
        <w:numPr>
          <w:ilvl w:val="0"/>
          <w:numId w:val="9"/>
        </w:numPr>
        <w:jc w:val="both"/>
        <w:rPr>
          <w:rFonts w:ascii="Tw Cen MT" w:hAnsi="Tw Cen MT" w:cstheme="majorHAnsi"/>
          <w:sz w:val="20"/>
          <w:szCs w:val="20"/>
          <w:lang w:val="en-US"/>
        </w:rPr>
      </w:pPr>
      <w:r w:rsidRPr="00CB5782">
        <w:rPr>
          <w:rFonts w:ascii="Tw Cen MT" w:hAnsi="Tw Cen MT" w:cstheme="majorHAnsi"/>
          <w:sz w:val="20"/>
          <w:szCs w:val="20"/>
          <w:lang w:val="en-US"/>
        </w:rPr>
        <w:t>to triangulate data with 3W</w:t>
      </w:r>
      <w:r w:rsidR="00764680">
        <w:rPr>
          <w:rFonts w:ascii="Tw Cen MT" w:hAnsi="Tw Cen MT" w:cstheme="majorHAnsi"/>
          <w:sz w:val="20"/>
          <w:szCs w:val="20"/>
          <w:lang w:val="en-US"/>
        </w:rPr>
        <w:t>s and map out gaps</w:t>
      </w:r>
    </w:p>
    <w:p w14:paraId="081B2434" w14:textId="38D9AA32" w:rsidR="00764680" w:rsidRPr="00CB5782" w:rsidRDefault="00764680" w:rsidP="00764680">
      <w:pPr>
        <w:pStyle w:val="Geenafstand"/>
        <w:numPr>
          <w:ilvl w:val="0"/>
          <w:numId w:val="9"/>
        </w:numPr>
        <w:jc w:val="both"/>
        <w:rPr>
          <w:rFonts w:ascii="Tw Cen MT" w:hAnsi="Tw Cen MT" w:cstheme="majorHAnsi"/>
          <w:sz w:val="20"/>
          <w:szCs w:val="20"/>
          <w:lang w:val="en-US"/>
        </w:rPr>
      </w:pPr>
      <w:r>
        <w:rPr>
          <w:rFonts w:ascii="Tw Cen MT" w:hAnsi="Tw Cen MT" w:cstheme="majorHAnsi"/>
          <w:sz w:val="20"/>
          <w:szCs w:val="20"/>
          <w:lang w:val="en-US"/>
        </w:rPr>
        <w:lastRenderedPageBreak/>
        <w:t xml:space="preserve">Understand the perception of the people: if services are available somewhere (according to 3Ws) but the key informants do not know – why not? </w:t>
      </w:r>
    </w:p>
    <w:p w14:paraId="357920C0" w14:textId="77777777" w:rsidR="00DA08CD" w:rsidRPr="00CB5782" w:rsidRDefault="00DA08CD" w:rsidP="00DA08CD">
      <w:pPr>
        <w:pStyle w:val="Geenafstand"/>
        <w:ind w:left="720"/>
        <w:jc w:val="both"/>
        <w:rPr>
          <w:rFonts w:ascii="Tw Cen MT" w:hAnsi="Tw Cen MT" w:cstheme="majorHAnsi"/>
          <w:sz w:val="20"/>
          <w:szCs w:val="20"/>
          <w:lang w:val="en-US"/>
        </w:rPr>
      </w:pPr>
    </w:p>
    <w:p w14:paraId="3A2EDC69" w14:textId="77777777" w:rsidR="00764680" w:rsidRDefault="000D326D" w:rsidP="00764680">
      <w:pPr>
        <w:pStyle w:val="Geenafstand"/>
        <w:numPr>
          <w:ilvl w:val="0"/>
          <w:numId w:val="5"/>
        </w:numPr>
        <w:jc w:val="both"/>
        <w:rPr>
          <w:rFonts w:ascii="Tw Cen MT" w:hAnsi="Tw Cen MT" w:cstheme="majorHAnsi"/>
          <w:sz w:val="20"/>
          <w:szCs w:val="20"/>
          <w:lang w:val="en-US"/>
        </w:rPr>
      </w:pPr>
      <w:r w:rsidRPr="00CB5782">
        <w:rPr>
          <w:rFonts w:ascii="Tw Cen MT" w:hAnsi="Tw Cen MT" w:cstheme="majorHAnsi"/>
          <w:b/>
          <w:sz w:val="20"/>
          <w:szCs w:val="20"/>
          <w:lang w:val="en-US"/>
        </w:rPr>
        <w:t>Accessibility of GBV services:</w:t>
      </w:r>
      <w:r w:rsidR="00B632DF" w:rsidRPr="00CB5782">
        <w:rPr>
          <w:rFonts w:ascii="Tw Cen MT" w:hAnsi="Tw Cen MT" w:cstheme="majorHAnsi"/>
          <w:b/>
          <w:sz w:val="20"/>
          <w:szCs w:val="20"/>
          <w:lang w:val="en-US"/>
        </w:rPr>
        <w:t xml:space="preserve"> </w:t>
      </w:r>
      <w:r w:rsidR="00B632DF" w:rsidRPr="00CB5782">
        <w:rPr>
          <w:rFonts w:ascii="Tw Cen MT" w:hAnsi="Tw Cen MT" w:cstheme="majorHAnsi"/>
          <w:sz w:val="20"/>
          <w:szCs w:val="20"/>
          <w:lang w:val="en-US"/>
        </w:rPr>
        <w:t xml:space="preserve">Looking at whether </w:t>
      </w:r>
      <w:r w:rsidR="00764680">
        <w:rPr>
          <w:rFonts w:ascii="Tw Cen MT" w:hAnsi="Tw Cen MT" w:cstheme="majorHAnsi"/>
          <w:sz w:val="20"/>
          <w:szCs w:val="20"/>
          <w:lang w:val="en-US"/>
        </w:rPr>
        <w:t xml:space="preserve">people are </w:t>
      </w:r>
      <w:r w:rsidR="00B632DF" w:rsidRPr="00CB5782">
        <w:rPr>
          <w:rFonts w:ascii="Tw Cen MT" w:hAnsi="Tw Cen MT" w:cstheme="majorHAnsi"/>
          <w:sz w:val="20"/>
          <w:szCs w:val="20"/>
          <w:lang w:val="en-US"/>
        </w:rPr>
        <w:t xml:space="preserve">accessing </w:t>
      </w:r>
      <w:r w:rsidR="00764680">
        <w:rPr>
          <w:rFonts w:ascii="Tw Cen MT" w:hAnsi="Tw Cen MT" w:cstheme="majorHAnsi"/>
          <w:sz w:val="20"/>
          <w:szCs w:val="20"/>
          <w:lang w:val="en-US"/>
        </w:rPr>
        <w:t>GBV services</w:t>
      </w:r>
    </w:p>
    <w:p w14:paraId="30D36C42" w14:textId="77777777" w:rsidR="00764680" w:rsidRDefault="00764680" w:rsidP="00764680">
      <w:pPr>
        <w:pStyle w:val="Geenafstand"/>
        <w:ind w:left="720"/>
        <w:jc w:val="both"/>
        <w:rPr>
          <w:rFonts w:ascii="Tw Cen MT" w:hAnsi="Tw Cen MT" w:cstheme="majorHAnsi"/>
          <w:i/>
          <w:sz w:val="20"/>
          <w:szCs w:val="20"/>
          <w:lang w:val="en-US"/>
        </w:rPr>
      </w:pPr>
    </w:p>
    <w:p w14:paraId="6C2EC75E" w14:textId="77777777" w:rsidR="00764680" w:rsidRDefault="00764680" w:rsidP="00764680">
      <w:pPr>
        <w:pStyle w:val="Geenafstand"/>
        <w:ind w:left="720"/>
        <w:jc w:val="both"/>
        <w:rPr>
          <w:rFonts w:ascii="Tw Cen MT" w:hAnsi="Tw Cen MT" w:cstheme="majorHAnsi"/>
          <w:sz w:val="20"/>
          <w:szCs w:val="20"/>
          <w:lang w:val="en-US"/>
        </w:rPr>
      </w:pPr>
      <w:r>
        <w:rPr>
          <w:rFonts w:ascii="Tw Cen MT" w:hAnsi="Tw Cen MT" w:cstheme="majorHAnsi"/>
          <w:i/>
          <w:sz w:val="20"/>
          <w:szCs w:val="20"/>
          <w:lang w:val="en-US"/>
        </w:rPr>
        <w:t xml:space="preserve">Why include these? </w:t>
      </w:r>
      <w:r>
        <w:rPr>
          <w:rFonts w:ascii="Tw Cen MT" w:hAnsi="Tw Cen MT" w:cstheme="majorHAnsi"/>
          <w:sz w:val="20"/>
          <w:szCs w:val="20"/>
          <w:lang w:val="en-US"/>
        </w:rPr>
        <w:t>These questions can be asked to specialized key informants and non-specialized key informants</w:t>
      </w:r>
      <w:r w:rsidR="00166F86" w:rsidRPr="00CB5782">
        <w:rPr>
          <w:rFonts w:ascii="Tw Cen MT" w:hAnsi="Tw Cen MT" w:cstheme="majorHAnsi"/>
          <w:sz w:val="20"/>
          <w:szCs w:val="20"/>
          <w:lang w:val="en-US"/>
        </w:rPr>
        <w:t>.</w:t>
      </w:r>
      <w:r>
        <w:rPr>
          <w:rFonts w:ascii="Tw Cen MT" w:hAnsi="Tw Cen MT" w:cstheme="majorHAnsi"/>
          <w:sz w:val="20"/>
          <w:szCs w:val="20"/>
          <w:lang w:val="en-US"/>
        </w:rPr>
        <w:t xml:space="preserve"> These are asked to: </w:t>
      </w:r>
    </w:p>
    <w:p w14:paraId="5118EDE8" w14:textId="641E3504" w:rsidR="00764680" w:rsidRDefault="00764680" w:rsidP="00764680">
      <w:pPr>
        <w:pStyle w:val="Geenafstand"/>
        <w:numPr>
          <w:ilvl w:val="0"/>
          <w:numId w:val="11"/>
        </w:numPr>
        <w:jc w:val="both"/>
        <w:rPr>
          <w:rFonts w:ascii="Tw Cen MT" w:hAnsi="Tw Cen MT" w:cstheme="majorHAnsi"/>
          <w:sz w:val="20"/>
          <w:szCs w:val="20"/>
          <w:lang w:val="en-US"/>
        </w:rPr>
      </w:pPr>
      <w:r>
        <w:rPr>
          <w:rFonts w:ascii="Tw Cen MT" w:hAnsi="Tw Cen MT" w:cstheme="majorHAnsi"/>
          <w:sz w:val="20"/>
          <w:szCs w:val="20"/>
          <w:lang w:val="en-US"/>
        </w:rPr>
        <w:t xml:space="preserve">Understand if people are accessing services </w:t>
      </w:r>
    </w:p>
    <w:p w14:paraId="490AD026" w14:textId="77777777" w:rsidR="00764680" w:rsidRDefault="00764680" w:rsidP="00764680">
      <w:pPr>
        <w:pStyle w:val="Geenafstand"/>
        <w:numPr>
          <w:ilvl w:val="0"/>
          <w:numId w:val="11"/>
        </w:numPr>
        <w:jc w:val="both"/>
        <w:rPr>
          <w:rFonts w:ascii="Tw Cen MT" w:hAnsi="Tw Cen MT" w:cstheme="majorHAnsi"/>
          <w:sz w:val="20"/>
          <w:szCs w:val="20"/>
          <w:lang w:val="en-US"/>
        </w:rPr>
      </w:pPr>
      <w:r>
        <w:rPr>
          <w:rFonts w:ascii="Tw Cen MT" w:hAnsi="Tw Cen MT" w:cstheme="majorHAnsi"/>
          <w:sz w:val="20"/>
          <w:szCs w:val="20"/>
          <w:lang w:val="en-US"/>
        </w:rPr>
        <w:t>Map out gaps where people/other actors say they are/are not accessing services</w:t>
      </w:r>
    </w:p>
    <w:p w14:paraId="02EA3255" w14:textId="408853FC" w:rsidR="00DA08CD" w:rsidRPr="00764680" w:rsidRDefault="00166F86" w:rsidP="00764680">
      <w:pPr>
        <w:pStyle w:val="Geenafstand"/>
        <w:numPr>
          <w:ilvl w:val="0"/>
          <w:numId w:val="11"/>
        </w:numPr>
        <w:jc w:val="both"/>
        <w:rPr>
          <w:rFonts w:ascii="Tw Cen MT" w:hAnsi="Tw Cen MT" w:cstheme="majorHAnsi"/>
          <w:sz w:val="20"/>
          <w:szCs w:val="20"/>
          <w:lang w:val="en-US"/>
        </w:rPr>
      </w:pPr>
      <w:r w:rsidRPr="00764680">
        <w:rPr>
          <w:rFonts w:ascii="Tw Cen MT" w:hAnsi="Tw Cen MT" w:cstheme="majorHAnsi"/>
          <w:sz w:val="20"/>
          <w:szCs w:val="20"/>
          <w:lang w:val="en-US"/>
        </w:rPr>
        <w:t xml:space="preserve"> If they are not, it may give an indication on why</w:t>
      </w:r>
      <w:r w:rsidR="00B632DF" w:rsidRPr="00764680">
        <w:rPr>
          <w:rFonts w:ascii="Tw Cen MT" w:hAnsi="Tw Cen MT" w:cstheme="majorHAnsi"/>
          <w:sz w:val="20"/>
          <w:szCs w:val="20"/>
          <w:lang w:val="en-US"/>
        </w:rPr>
        <w:t>. Questions can probe into why women/girls may not access services (e.g. is healthcare for them free?)</w:t>
      </w:r>
      <w:r w:rsidRPr="00764680">
        <w:rPr>
          <w:rFonts w:ascii="Tw Cen MT" w:hAnsi="Tw Cen MT" w:cstheme="majorHAnsi"/>
          <w:sz w:val="20"/>
          <w:szCs w:val="20"/>
          <w:lang w:val="en-US"/>
        </w:rPr>
        <w:t xml:space="preserve">. </w:t>
      </w:r>
    </w:p>
    <w:p w14:paraId="6D998C6A" w14:textId="77777777" w:rsidR="00B632DF" w:rsidRPr="00CB5782" w:rsidRDefault="00B632DF" w:rsidP="00B632DF">
      <w:pPr>
        <w:pStyle w:val="Geenafstand"/>
        <w:jc w:val="both"/>
        <w:rPr>
          <w:rFonts w:ascii="Tw Cen MT" w:hAnsi="Tw Cen MT" w:cstheme="majorHAnsi"/>
          <w:sz w:val="20"/>
          <w:szCs w:val="20"/>
          <w:lang w:val="en-US"/>
        </w:rPr>
      </w:pPr>
    </w:p>
    <w:p w14:paraId="36ACBECA" w14:textId="615B94B7" w:rsidR="00166F86" w:rsidRDefault="000D326D" w:rsidP="00166F86">
      <w:pPr>
        <w:pStyle w:val="Geenafstand"/>
        <w:numPr>
          <w:ilvl w:val="0"/>
          <w:numId w:val="5"/>
        </w:numPr>
        <w:jc w:val="both"/>
        <w:rPr>
          <w:rFonts w:ascii="Tw Cen MT" w:hAnsi="Tw Cen MT" w:cstheme="majorHAnsi"/>
          <w:sz w:val="20"/>
          <w:szCs w:val="20"/>
          <w:lang w:val="en-US"/>
        </w:rPr>
      </w:pPr>
      <w:r w:rsidRPr="00CB5782">
        <w:rPr>
          <w:rFonts w:ascii="Tw Cen MT" w:hAnsi="Tw Cen MT" w:cstheme="majorHAnsi"/>
          <w:b/>
          <w:sz w:val="20"/>
          <w:szCs w:val="20"/>
          <w:lang w:val="en-US"/>
        </w:rPr>
        <w:t>General GBV protection questions:</w:t>
      </w:r>
      <w:r w:rsidR="00166F86" w:rsidRPr="00CB5782">
        <w:rPr>
          <w:rFonts w:ascii="Tw Cen MT" w:hAnsi="Tw Cen MT" w:cstheme="majorHAnsi"/>
          <w:b/>
          <w:sz w:val="20"/>
          <w:szCs w:val="20"/>
          <w:lang w:val="en-US"/>
        </w:rPr>
        <w:t xml:space="preserve"> </w:t>
      </w:r>
      <w:r w:rsidR="00166F86" w:rsidRPr="00CB5782">
        <w:rPr>
          <w:rFonts w:ascii="Tw Cen MT" w:hAnsi="Tw Cen MT" w:cstheme="majorHAnsi"/>
          <w:sz w:val="20"/>
          <w:szCs w:val="20"/>
          <w:lang w:val="en-US"/>
        </w:rPr>
        <w:t xml:space="preserve">Questions that are mostly addressed to the affected population and give indications on safety, security, and protection concerns, what areas people tend to avoid, who provides safety and security on site, etc. </w:t>
      </w:r>
    </w:p>
    <w:p w14:paraId="1493C9B4" w14:textId="04ADC880" w:rsidR="00E4309B" w:rsidRDefault="00E4309B" w:rsidP="00E4309B">
      <w:pPr>
        <w:pStyle w:val="Geenafstand"/>
        <w:ind w:left="720"/>
        <w:jc w:val="both"/>
        <w:rPr>
          <w:rFonts w:ascii="Tw Cen MT" w:hAnsi="Tw Cen MT" w:cstheme="majorHAnsi"/>
          <w:b/>
          <w:sz w:val="20"/>
          <w:szCs w:val="20"/>
          <w:lang w:val="en-US"/>
        </w:rPr>
      </w:pPr>
    </w:p>
    <w:p w14:paraId="19F17C44" w14:textId="2CAE25B6" w:rsidR="00E4309B" w:rsidRPr="00E4309B" w:rsidRDefault="00E4309B" w:rsidP="00E4309B">
      <w:pPr>
        <w:pStyle w:val="Geenafstand"/>
        <w:ind w:left="720"/>
        <w:jc w:val="both"/>
        <w:rPr>
          <w:rFonts w:ascii="Tw Cen MT" w:hAnsi="Tw Cen MT" w:cstheme="majorHAnsi"/>
          <w:sz w:val="20"/>
          <w:szCs w:val="20"/>
          <w:lang w:val="en-US"/>
        </w:rPr>
      </w:pPr>
      <w:r>
        <w:rPr>
          <w:rFonts w:ascii="Tw Cen MT" w:hAnsi="Tw Cen MT" w:cstheme="majorHAnsi"/>
          <w:i/>
          <w:sz w:val="20"/>
          <w:szCs w:val="20"/>
          <w:lang w:val="en-US"/>
        </w:rPr>
        <w:t xml:space="preserve">Why include these? </w:t>
      </w:r>
      <w:r>
        <w:rPr>
          <w:rFonts w:ascii="Tw Cen MT" w:hAnsi="Tw Cen MT" w:cstheme="majorHAnsi"/>
          <w:sz w:val="20"/>
          <w:szCs w:val="20"/>
          <w:lang w:val="en-US"/>
        </w:rPr>
        <w:t>These questions are asked to specialized and non-specialized key informants. Th</w:t>
      </w:r>
      <w:r w:rsidR="005A18CB">
        <w:rPr>
          <w:rFonts w:ascii="Tw Cen MT" w:hAnsi="Tw Cen MT" w:cstheme="majorHAnsi"/>
          <w:sz w:val="20"/>
          <w:szCs w:val="20"/>
          <w:lang w:val="en-US"/>
        </w:rPr>
        <w:t>e questions can paint the picture of the general protection environment and help shape a more qualitative narrative needed to create a complete picture.</w:t>
      </w:r>
    </w:p>
    <w:p w14:paraId="1C2014BD" w14:textId="77777777" w:rsidR="00DA08CD" w:rsidRPr="00CB5782" w:rsidRDefault="00DA08CD" w:rsidP="00DA08CD">
      <w:pPr>
        <w:pStyle w:val="Geenafstand"/>
        <w:jc w:val="both"/>
        <w:rPr>
          <w:rFonts w:ascii="Tw Cen MT" w:hAnsi="Tw Cen MT" w:cstheme="majorHAnsi"/>
          <w:sz w:val="20"/>
          <w:szCs w:val="20"/>
          <w:lang w:val="en-US"/>
        </w:rPr>
      </w:pPr>
    </w:p>
    <w:p w14:paraId="4E9A3897" w14:textId="4571A82D" w:rsidR="007E272E" w:rsidRDefault="000D326D" w:rsidP="007E272E">
      <w:pPr>
        <w:pStyle w:val="Geenafstand"/>
        <w:numPr>
          <w:ilvl w:val="0"/>
          <w:numId w:val="5"/>
        </w:numPr>
        <w:jc w:val="both"/>
        <w:rPr>
          <w:rFonts w:ascii="Tw Cen MT" w:hAnsi="Tw Cen MT" w:cstheme="majorHAnsi"/>
          <w:sz w:val="20"/>
          <w:szCs w:val="20"/>
          <w:lang w:val="en-US"/>
        </w:rPr>
      </w:pPr>
      <w:r w:rsidRPr="00E4309B">
        <w:rPr>
          <w:rFonts w:ascii="Tw Cen MT" w:hAnsi="Tw Cen MT" w:cstheme="majorHAnsi"/>
          <w:b/>
          <w:sz w:val="20"/>
          <w:szCs w:val="20"/>
          <w:lang w:val="en-US"/>
        </w:rPr>
        <w:t>Proxy indicators</w:t>
      </w:r>
      <w:r w:rsidR="00D86AFF" w:rsidRPr="00E4309B">
        <w:rPr>
          <w:rFonts w:ascii="Tw Cen MT" w:hAnsi="Tw Cen MT" w:cstheme="majorHAnsi"/>
          <w:b/>
          <w:sz w:val="20"/>
          <w:szCs w:val="20"/>
          <w:lang w:val="en-US"/>
        </w:rPr>
        <w:t xml:space="preserve"> on GBV risks</w:t>
      </w:r>
      <w:r w:rsidRPr="00E4309B">
        <w:rPr>
          <w:rFonts w:ascii="Tw Cen MT" w:hAnsi="Tw Cen MT" w:cstheme="majorHAnsi"/>
          <w:b/>
          <w:sz w:val="20"/>
          <w:szCs w:val="20"/>
          <w:lang w:val="en-US"/>
        </w:rPr>
        <w:t>:</w:t>
      </w:r>
      <w:r w:rsidR="00DA08CD" w:rsidRPr="00E4309B">
        <w:rPr>
          <w:rFonts w:ascii="Tw Cen MT" w:hAnsi="Tw Cen MT" w:cstheme="majorHAnsi"/>
          <w:b/>
          <w:sz w:val="20"/>
          <w:szCs w:val="20"/>
          <w:lang w:val="en-US"/>
        </w:rPr>
        <w:t xml:space="preserve"> </w:t>
      </w:r>
      <w:r w:rsidR="00DA08CD" w:rsidRPr="00E4309B">
        <w:rPr>
          <w:rFonts w:ascii="Tw Cen MT" w:hAnsi="Tw Cen MT" w:cstheme="majorHAnsi"/>
          <w:sz w:val="20"/>
          <w:szCs w:val="20"/>
          <w:lang w:val="en-US"/>
        </w:rPr>
        <w:t xml:space="preserve">Questions that are looking at risks of GBV </w:t>
      </w:r>
      <w:r w:rsidR="00DA08CD" w:rsidRPr="00E4309B">
        <w:rPr>
          <w:rFonts w:ascii="Tw Cen MT" w:hAnsi="Tw Cen MT" w:cstheme="majorHAnsi"/>
          <w:i/>
          <w:sz w:val="20"/>
          <w:szCs w:val="20"/>
          <w:lang w:val="en-US"/>
        </w:rPr>
        <w:t xml:space="preserve">indirectly. </w:t>
      </w:r>
      <w:r w:rsidR="00DA08CD" w:rsidRPr="00E4309B">
        <w:rPr>
          <w:rFonts w:ascii="Tw Cen MT" w:hAnsi="Tw Cen MT" w:cstheme="majorHAnsi"/>
          <w:sz w:val="20"/>
          <w:szCs w:val="20"/>
          <w:lang w:val="en-US"/>
        </w:rPr>
        <w:t xml:space="preserve">In other words, the indicators may </w:t>
      </w:r>
      <w:r w:rsidR="007E272E" w:rsidRPr="00E4309B">
        <w:rPr>
          <w:rFonts w:ascii="Tw Cen MT" w:hAnsi="Tw Cen MT" w:cstheme="majorHAnsi"/>
          <w:sz w:val="20"/>
          <w:szCs w:val="20"/>
          <w:lang w:val="en-US"/>
        </w:rPr>
        <w:t xml:space="preserve">point at </w:t>
      </w:r>
      <w:r w:rsidR="00DA08CD" w:rsidRPr="00E4309B">
        <w:rPr>
          <w:rFonts w:ascii="Tw Cen MT" w:hAnsi="Tw Cen MT" w:cstheme="majorHAnsi"/>
          <w:sz w:val="20"/>
          <w:szCs w:val="20"/>
          <w:lang w:val="en-US"/>
        </w:rPr>
        <w:t xml:space="preserve">what </w:t>
      </w:r>
      <w:r w:rsidR="00E43655">
        <w:rPr>
          <w:rFonts w:ascii="Tw Cen MT" w:hAnsi="Tw Cen MT" w:cstheme="majorHAnsi"/>
          <w:sz w:val="20"/>
          <w:szCs w:val="20"/>
          <w:lang w:val="en-US"/>
        </w:rPr>
        <w:t xml:space="preserve">geographic </w:t>
      </w:r>
      <w:r w:rsidR="00DA08CD" w:rsidRPr="00E4309B">
        <w:rPr>
          <w:rFonts w:ascii="Tw Cen MT" w:hAnsi="Tw Cen MT" w:cstheme="majorHAnsi"/>
          <w:sz w:val="20"/>
          <w:szCs w:val="20"/>
          <w:lang w:val="en-US"/>
        </w:rPr>
        <w:t xml:space="preserve">areas have high risks of GBV based on </w:t>
      </w:r>
      <w:r w:rsidR="007E272E" w:rsidRPr="00E4309B">
        <w:rPr>
          <w:rFonts w:ascii="Tw Cen MT" w:hAnsi="Tw Cen MT" w:cstheme="majorHAnsi"/>
          <w:sz w:val="20"/>
          <w:szCs w:val="20"/>
          <w:lang w:val="en-US"/>
        </w:rPr>
        <w:t xml:space="preserve">the </w:t>
      </w:r>
      <w:r w:rsidR="00E43655">
        <w:rPr>
          <w:rFonts w:ascii="Tw Cen MT" w:hAnsi="Tw Cen MT" w:cstheme="majorHAnsi"/>
          <w:sz w:val="20"/>
          <w:szCs w:val="20"/>
          <w:lang w:val="en-US"/>
        </w:rPr>
        <w:t>needs pertaining to</w:t>
      </w:r>
      <w:r w:rsidR="007E272E" w:rsidRPr="00E4309B">
        <w:rPr>
          <w:rFonts w:ascii="Tw Cen MT" w:hAnsi="Tw Cen MT" w:cstheme="majorHAnsi"/>
          <w:sz w:val="20"/>
          <w:szCs w:val="20"/>
          <w:lang w:val="en-US"/>
        </w:rPr>
        <w:t xml:space="preserve"> other sectors (whether people face severe needs in other sectors), and the </w:t>
      </w:r>
      <w:r w:rsidR="00DA08CD" w:rsidRPr="00E4309B">
        <w:rPr>
          <w:rFonts w:ascii="Tw Cen MT" w:hAnsi="Tw Cen MT" w:cstheme="majorHAnsi"/>
          <w:sz w:val="20"/>
          <w:szCs w:val="20"/>
          <w:lang w:val="en-US"/>
        </w:rPr>
        <w:t xml:space="preserve">existing infrastructure, but </w:t>
      </w:r>
      <w:r w:rsidR="00DA08CD" w:rsidRPr="00E4309B">
        <w:rPr>
          <w:rFonts w:ascii="Tw Cen MT" w:hAnsi="Tw Cen MT" w:cstheme="majorHAnsi"/>
          <w:i/>
          <w:sz w:val="20"/>
          <w:szCs w:val="20"/>
          <w:lang w:val="en-US"/>
        </w:rPr>
        <w:t xml:space="preserve">no explicit reference </w:t>
      </w:r>
      <w:r w:rsidR="00DA08CD" w:rsidRPr="00E4309B">
        <w:rPr>
          <w:rFonts w:ascii="Tw Cen MT" w:hAnsi="Tw Cen MT" w:cstheme="majorHAnsi"/>
          <w:sz w:val="20"/>
          <w:szCs w:val="20"/>
          <w:lang w:val="en-US"/>
        </w:rPr>
        <w:t xml:space="preserve">is made to GBV. </w:t>
      </w:r>
      <w:r w:rsidR="00E4309B" w:rsidRPr="00E4309B">
        <w:rPr>
          <w:rFonts w:ascii="Tw Cen MT" w:hAnsi="Tw Cen MT" w:cstheme="majorHAnsi"/>
          <w:sz w:val="20"/>
          <w:szCs w:val="20"/>
          <w:lang w:val="en-US"/>
        </w:rPr>
        <w:t xml:space="preserve">The questions are asked to both specialized and non-specialized key informants (but since they are all proxy indicators, the questions are most likely </w:t>
      </w:r>
      <w:r w:rsidR="00E4309B" w:rsidRPr="00E4309B">
        <w:rPr>
          <w:rFonts w:ascii="Tw Cen MT" w:hAnsi="Tw Cen MT" w:cstheme="majorHAnsi"/>
          <w:i/>
          <w:sz w:val="20"/>
          <w:szCs w:val="20"/>
          <w:lang w:val="en-US"/>
        </w:rPr>
        <w:t>not</w:t>
      </w:r>
      <w:r w:rsidR="00E4309B" w:rsidRPr="00E4309B">
        <w:rPr>
          <w:rFonts w:ascii="Tw Cen MT" w:hAnsi="Tw Cen MT" w:cstheme="majorHAnsi"/>
          <w:sz w:val="20"/>
          <w:szCs w:val="20"/>
          <w:lang w:val="en-US"/>
        </w:rPr>
        <w:t xml:space="preserve"> asked to GBV actors).</w:t>
      </w:r>
    </w:p>
    <w:p w14:paraId="457C9C44" w14:textId="77777777" w:rsidR="00E4309B" w:rsidRPr="00E4309B" w:rsidRDefault="00E4309B" w:rsidP="00FE0A68">
      <w:pPr>
        <w:pStyle w:val="Geenafstand"/>
        <w:ind w:left="720"/>
        <w:jc w:val="both"/>
        <w:rPr>
          <w:rFonts w:ascii="Tw Cen MT" w:hAnsi="Tw Cen MT" w:cstheme="majorHAnsi"/>
          <w:sz w:val="20"/>
          <w:szCs w:val="20"/>
          <w:lang w:val="en-US"/>
        </w:rPr>
      </w:pPr>
    </w:p>
    <w:p w14:paraId="576418E6" w14:textId="67D0B176" w:rsidR="002B75D1" w:rsidRDefault="007E272E" w:rsidP="007E272E">
      <w:pPr>
        <w:pStyle w:val="Geenafstand"/>
        <w:ind w:left="720"/>
        <w:jc w:val="both"/>
        <w:rPr>
          <w:rFonts w:ascii="Tw Cen MT" w:hAnsi="Tw Cen MT" w:cstheme="majorHAnsi"/>
          <w:sz w:val="20"/>
          <w:szCs w:val="20"/>
          <w:lang w:val="en-US"/>
        </w:rPr>
      </w:pPr>
      <w:r>
        <w:rPr>
          <w:rFonts w:ascii="Tw Cen MT" w:hAnsi="Tw Cen MT" w:cstheme="majorHAnsi"/>
          <w:i/>
          <w:sz w:val="20"/>
          <w:szCs w:val="20"/>
          <w:lang w:val="en-US"/>
        </w:rPr>
        <w:t xml:space="preserve">Why use these: </w:t>
      </w:r>
      <w:r>
        <w:rPr>
          <w:rFonts w:ascii="Tw Cen MT" w:hAnsi="Tw Cen MT" w:cstheme="majorHAnsi"/>
          <w:sz w:val="20"/>
          <w:szCs w:val="20"/>
          <w:lang w:val="en-US"/>
        </w:rPr>
        <w:t xml:space="preserve">Proxy indicators give insight into two main areas of decision making </w:t>
      </w:r>
      <w:r>
        <w:rPr>
          <w:rFonts w:ascii="Tw Cen MT" w:hAnsi="Tw Cen MT" w:cstheme="majorHAnsi"/>
          <w:i/>
          <w:sz w:val="20"/>
          <w:szCs w:val="20"/>
          <w:lang w:val="en-US"/>
        </w:rPr>
        <w:t xml:space="preserve">strategic </w:t>
      </w:r>
      <w:r>
        <w:rPr>
          <w:rFonts w:ascii="Tw Cen MT" w:hAnsi="Tw Cen MT" w:cstheme="majorHAnsi"/>
          <w:sz w:val="20"/>
          <w:szCs w:val="20"/>
          <w:lang w:val="en-US"/>
        </w:rPr>
        <w:t xml:space="preserve">and </w:t>
      </w:r>
      <w:r>
        <w:rPr>
          <w:rFonts w:ascii="Tw Cen MT" w:hAnsi="Tw Cen MT" w:cstheme="majorHAnsi"/>
          <w:i/>
          <w:sz w:val="20"/>
          <w:szCs w:val="20"/>
          <w:lang w:val="en-US"/>
        </w:rPr>
        <w:t xml:space="preserve">operational </w:t>
      </w:r>
      <w:r>
        <w:rPr>
          <w:rFonts w:ascii="Tw Cen MT" w:hAnsi="Tw Cen MT" w:cstheme="majorHAnsi"/>
          <w:sz w:val="20"/>
          <w:szCs w:val="20"/>
          <w:lang w:val="en-US"/>
        </w:rPr>
        <w:t xml:space="preserve">level decision-making. Because proxy indicators for other sectors can be </w:t>
      </w:r>
      <w:r>
        <w:rPr>
          <w:rFonts w:ascii="Tw Cen MT" w:hAnsi="Tw Cen MT" w:cstheme="majorHAnsi"/>
          <w:i/>
          <w:sz w:val="20"/>
          <w:szCs w:val="20"/>
          <w:lang w:val="en-US"/>
        </w:rPr>
        <w:t>quantified</w:t>
      </w:r>
      <w:r>
        <w:rPr>
          <w:rFonts w:ascii="Tw Cen MT" w:hAnsi="Tw Cen MT" w:cstheme="majorHAnsi"/>
          <w:sz w:val="20"/>
          <w:szCs w:val="20"/>
          <w:lang w:val="en-US"/>
        </w:rPr>
        <w:t>, they can</w:t>
      </w:r>
      <w:r w:rsidR="00E43655">
        <w:rPr>
          <w:rFonts w:ascii="Tw Cen MT" w:hAnsi="Tw Cen MT" w:cstheme="majorHAnsi"/>
          <w:sz w:val="20"/>
          <w:szCs w:val="20"/>
          <w:lang w:val="en-US"/>
        </w:rPr>
        <w:t xml:space="preserve"> also</w:t>
      </w:r>
      <w:r>
        <w:rPr>
          <w:rFonts w:ascii="Tw Cen MT" w:hAnsi="Tw Cen MT" w:cstheme="majorHAnsi"/>
          <w:sz w:val="20"/>
          <w:szCs w:val="20"/>
          <w:lang w:val="en-US"/>
        </w:rPr>
        <w:t xml:space="preserve"> be used to build prioritization models and decide where/on what to focus response efforts. </w:t>
      </w:r>
    </w:p>
    <w:p w14:paraId="2C1D9330" w14:textId="05A472A8" w:rsidR="00F12770" w:rsidRDefault="00F12770" w:rsidP="007E272E">
      <w:pPr>
        <w:pStyle w:val="Geenafstand"/>
        <w:ind w:left="720"/>
        <w:jc w:val="both"/>
        <w:rPr>
          <w:rFonts w:ascii="Tw Cen MT" w:hAnsi="Tw Cen MT" w:cstheme="majorHAnsi"/>
          <w:sz w:val="20"/>
          <w:szCs w:val="20"/>
          <w:lang w:val="en-US"/>
        </w:rPr>
      </w:pPr>
    </w:p>
    <w:p w14:paraId="10CF3ED2" w14:textId="2EEB344A" w:rsidR="00F12770" w:rsidRDefault="00F12770" w:rsidP="007E272E">
      <w:pPr>
        <w:pStyle w:val="Geenafstand"/>
        <w:ind w:left="720"/>
        <w:jc w:val="both"/>
        <w:rPr>
          <w:rFonts w:ascii="Tw Cen MT" w:hAnsi="Tw Cen MT" w:cstheme="majorHAnsi"/>
          <w:sz w:val="20"/>
          <w:szCs w:val="20"/>
          <w:lang w:val="en-US"/>
        </w:rPr>
      </w:pPr>
      <w:r>
        <w:rPr>
          <w:rFonts w:ascii="Tw Cen MT" w:hAnsi="Tw Cen MT" w:cstheme="majorHAnsi"/>
          <w:sz w:val="20"/>
          <w:szCs w:val="20"/>
          <w:lang w:val="en-US"/>
        </w:rPr>
        <w:t xml:space="preserve">These proxy indicators can give insight into several areas: </w:t>
      </w:r>
    </w:p>
    <w:p w14:paraId="6627BF54" w14:textId="06207EC5" w:rsidR="00F12770" w:rsidRPr="00E43655" w:rsidRDefault="00E43655" w:rsidP="00E43655">
      <w:pPr>
        <w:pStyle w:val="Geenafstand"/>
        <w:numPr>
          <w:ilvl w:val="0"/>
          <w:numId w:val="17"/>
        </w:numPr>
        <w:jc w:val="both"/>
        <w:rPr>
          <w:rFonts w:ascii="Tw Cen MT" w:hAnsi="Tw Cen MT" w:cstheme="majorHAnsi"/>
          <w:sz w:val="20"/>
          <w:szCs w:val="20"/>
          <w:lang w:val="en-US"/>
        </w:rPr>
      </w:pPr>
      <w:r>
        <w:rPr>
          <w:rFonts w:ascii="Tw Cen MT" w:hAnsi="Tw Cen MT" w:cstheme="majorHAnsi"/>
          <w:sz w:val="20"/>
          <w:szCs w:val="20"/>
          <w:lang w:val="en-US"/>
        </w:rPr>
        <w:t>Proxy indicators as well as the mapping of availability/accessibility of GBV services can be combined together to u</w:t>
      </w:r>
      <w:r w:rsidR="00F12770">
        <w:rPr>
          <w:rFonts w:ascii="Tw Cen MT" w:hAnsi="Tw Cen MT" w:cstheme="majorHAnsi"/>
          <w:sz w:val="20"/>
          <w:szCs w:val="20"/>
          <w:lang w:val="en-US"/>
        </w:rPr>
        <w:t xml:space="preserve">nderstand </w:t>
      </w:r>
      <w:r>
        <w:rPr>
          <w:rFonts w:ascii="Tw Cen MT" w:hAnsi="Tw Cen MT" w:cstheme="majorHAnsi"/>
          <w:sz w:val="20"/>
          <w:szCs w:val="20"/>
          <w:lang w:val="en-US"/>
        </w:rPr>
        <w:t>in which geographical areas</w:t>
      </w:r>
      <w:r w:rsidR="00F12770">
        <w:rPr>
          <w:rFonts w:ascii="Tw Cen MT" w:hAnsi="Tw Cen MT" w:cstheme="majorHAnsi"/>
          <w:sz w:val="20"/>
          <w:szCs w:val="20"/>
          <w:lang w:val="en-US"/>
        </w:rPr>
        <w:t xml:space="preserve"> </w:t>
      </w:r>
      <w:r>
        <w:rPr>
          <w:rFonts w:ascii="Tw Cen MT" w:hAnsi="Tw Cen MT" w:cstheme="majorHAnsi"/>
          <w:sz w:val="20"/>
          <w:szCs w:val="20"/>
          <w:lang w:val="en-US"/>
        </w:rPr>
        <w:t>the risks to GBV are highest</w:t>
      </w:r>
      <w:r w:rsidR="00F12770">
        <w:rPr>
          <w:rFonts w:ascii="Tw Cen MT" w:hAnsi="Tw Cen MT" w:cstheme="majorHAnsi"/>
          <w:sz w:val="20"/>
          <w:szCs w:val="20"/>
          <w:lang w:val="en-US"/>
        </w:rPr>
        <w:t>. Based on this, actors can decide where to do follow up assessments</w:t>
      </w:r>
      <w:r>
        <w:rPr>
          <w:rFonts w:ascii="Tw Cen MT" w:hAnsi="Tw Cen MT" w:cstheme="majorHAnsi"/>
          <w:sz w:val="20"/>
          <w:szCs w:val="20"/>
          <w:lang w:val="en-US"/>
        </w:rPr>
        <w:t xml:space="preserve"> which can lead to possible response</w:t>
      </w:r>
      <w:r w:rsidR="00F12770">
        <w:rPr>
          <w:rFonts w:ascii="Tw Cen MT" w:hAnsi="Tw Cen MT" w:cstheme="majorHAnsi"/>
          <w:sz w:val="20"/>
          <w:szCs w:val="20"/>
          <w:lang w:val="en-US"/>
        </w:rPr>
        <w:t>.</w:t>
      </w:r>
    </w:p>
    <w:p w14:paraId="7AB0FDE9" w14:textId="77777777" w:rsidR="00F12770" w:rsidRDefault="00F12770" w:rsidP="00F12770">
      <w:pPr>
        <w:pStyle w:val="Geenafstand"/>
        <w:ind w:left="2484"/>
        <w:jc w:val="both"/>
        <w:rPr>
          <w:rFonts w:ascii="Tw Cen MT" w:hAnsi="Tw Cen MT" w:cstheme="majorHAnsi"/>
          <w:sz w:val="20"/>
          <w:szCs w:val="20"/>
          <w:lang w:val="en-US"/>
        </w:rPr>
      </w:pPr>
    </w:p>
    <w:p w14:paraId="7460FB8C" w14:textId="49855AA8" w:rsidR="00E43655" w:rsidRDefault="00E43655" w:rsidP="00F12770">
      <w:pPr>
        <w:pStyle w:val="Geenafstand"/>
        <w:numPr>
          <w:ilvl w:val="0"/>
          <w:numId w:val="17"/>
        </w:numPr>
        <w:jc w:val="both"/>
        <w:rPr>
          <w:rFonts w:ascii="Tw Cen MT" w:hAnsi="Tw Cen MT" w:cstheme="majorHAnsi"/>
          <w:sz w:val="20"/>
          <w:szCs w:val="20"/>
          <w:lang w:val="en-US"/>
        </w:rPr>
      </w:pPr>
      <w:r>
        <w:rPr>
          <w:rFonts w:ascii="Tw Cen MT" w:hAnsi="Tw Cen MT" w:cstheme="majorHAnsi"/>
          <w:sz w:val="20"/>
          <w:szCs w:val="20"/>
          <w:lang w:val="en-US"/>
        </w:rPr>
        <w:t>The same dataset of proxy indicators can give an indication as to what issue(s) are increasing the risk of GBV. For example, DTM can capture whether there are lights in latrines, whether women have to walk far to collect firewood or water, etc. The DTM can give an overview of what can be the potential risk factors to GBV per geographic area. GBV actors can do follow-up assessments based on this and take action (e.g. advocacy for mainstreaming and risk mitigation, etc.).</w:t>
      </w:r>
    </w:p>
    <w:p w14:paraId="15DC8B41" w14:textId="77777777" w:rsidR="00F12770" w:rsidRDefault="00F12770" w:rsidP="00E43655">
      <w:pPr>
        <w:pStyle w:val="Geenafstand"/>
        <w:jc w:val="both"/>
        <w:rPr>
          <w:rFonts w:ascii="Tw Cen MT" w:hAnsi="Tw Cen MT" w:cstheme="majorHAnsi"/>
          <w:sz w:val="20"/>
          <w:szCs w:val="20"/>
          <w:lang w:val="en-US"/>
        </w:rPr>
      </w:pPr>
    </w:p>
    <w:p w14:paraId="71716E6C" w14:textId="6B01831E" w:rsidR="002552E7" w:rsidRDefault="00E43655" w:rsidP="00E43655">
      <w:pPr>
        <w:pStyle w:val="Geenafstand"/>
        <w:numPr>
          <w:ilvl w:val="0"/>
          <w:numId w:val="17"/>
        </w:numPr>
        <w:jc w:val="both"/>
        <w:rPr>
          <w:rFonts w:ascii="Tw Cen MT" w:hAnsi="Tw Cen MT" w:cstheme="majorHAnsi"/>
          <w:sz w:val="20"/>
          <w:szCs w:val="20"/>
          <w:lang w:val="en-US"/>
        </w:rPr>
      </w:pPr>
      <w:r>
        <w:rPr>
          <w:rFonts w:ascii="Tw Cen MT" w:hAnsi="Tw Cen MT" w:cstheme="majorHAnsi"/>
          <w:sz w:val="20"/>
          <w:szCs w:val="20"/>
          <w:lang w:val="en-US"/>
        </w:rPr>
        <w:t xml:space="preserve">Based on the same proxy indicators, </w:t>
      </w:r>
      <w:r w:rsidR="00F12770">
        <w:rPr>
          <w:rFonts w:ascii="Tw Cen MT" w:hAnsi="Tw Cen MT" w:cstheme="majorHAnsi"/>
          <w:sz w:val="20"/>
          <w:szCs w:val="20"/>
          <w:lang w:val="en-US"/>
        </w:rPr>
        <w:t xml:space="preserve">DTM can be used to create an overview of each site: </w:t>
      </w:r>
      <w:r w:rsidR="00F12770">
        <w:rPr>
          <w:rFonts w:ascii="Tw Cen MT" w:hAnsi="Tw Cen MT" w:cstheme="majorHAnsi"/>
          <w:b/>
          <w:sz w:val="20"/>
          <w:szCs w:val="20"/>
          <w:lang w:val="en-US"/>
        </w:rPr>
        <w:t>site profiles</w:t>
      </w:r>
      <w:r w:rsidR="00F12770">
        <w:rPr>
          <w:rFonts w:ascii="Tw Cen MT" w:hAnsi="Tw Cen MT" w:cstheme="majorHAnsi"/>
          <w:sz w:val="20"/>
          <w:szCs w:val="20"/>
          <w:lang w:val="en-US"/>
        </w:rPr>
        <w:t xml:space="preserve">. At a very disaggregated level, DTM can produce data that will allow GBV actors </w:t>
      </w:r>
      <w:r>
        <w:rPr>
          <w:rFonts w:ascii="Tw Cen MT" w:hAnsi="Tw Cen MT" w:cstheme="majorHAnsi"/>
          <w:sz w:val="20"/>
          <w:szCs w:val="20"/>
          <w:lang w:val="en-US"/>
        </w:rPr>
        <w:t xml:space="preserve">to determine whether there are possible increased risks to GBV. </w:t>
      </w:r>
      <w:r w:rsidR="00F12770">
        <w:rPr>
          <w:rFonts w:ascii="Tw Cen MT" w:hAnsi="Tw Cen MT" w:cstheme="majorHAnsi"/>
          <w:sz w:val="20"/>
          <w:szCs w:val="20"/>
          <w:lang w:val="en-US"/>
        </w:rPr>
        <w:t xml:space="preserve"> </w:t>
      </w:r>
    </w:p>
    <w:p w14:paraId="3410107B" w14:textId="478C137D" w:rsidR="00E43655" w:rsidRDefault="00E43655" w:rsidP="00E43655">
      <w:pPr>
        <w:pStyle w:val="Geenafstand"/>
        <w:jc w:val="both"/>
        <w:rPr>
          <w:rFonts w:ascii="Tw Cen MT" w:hAnsi="Tw Cen MT" w:cstheme="majorHAnsi"/>
          <w:sz w:val="20"/>
          <w:szCs w:val="20"/>
          <w:lang w:val="en-US"/>
        </w:rPr>
      </w:pPr>
    </w:p>
    <w:p w14:paraId="63D47AE6" w14:textId="79EC355E" w:rsidR="00E43655" w:rsidRPr="00E43655" w:rsidRDefault="00E43655" w:rsidP="00E43655">
      <w:pPr>
        <w:pStyle w:val="Geenafstand"/>
        <w:jc w:val="both"/>
        <w:rPr>
          <w:rFonts w:ascii="Tw Cen MT" w:hAnsi="Tw Cen MT" w:cstheme="majorHAnsi"/>
          <w:sz w:val="20"/>
          <w:szCs w:val="20"/>
          <w:lang w:val="en-US"/>
        </w:rPr>
      </w:pPr>
      <w:r>
        <w:rPr>
          <w:rFonts w:ascii="Tw Cen MT" w:hAnsi="Tw Cen MT" w:cstheme="majorHAnsi"/>
          <w:sz w:val="20"/>
          <w:szCs w:val="20"/>
          <w:lang w:val="en-US"/>
        </w:rPr>
        <w:t xml:space="preserve">Keep in mind that the DTM serves as an </w:t>
      </w:r>
      <w:r>
        <w:rPr>
          <w:rFonts w:ascii="Tw Cen MT" w:hAnsi="Tw Cen MT" w:cstheme="majorHAnsi"/>
          <w:b/>
          <w:sz w:val="20"/>
          <w:szCs w:val="20"/>
          <w:lang w:val="en-US"/>
        </w:rPr>
        <w:t>indication</w:t>
      </w:r>
      <w:r>
        <w:rPr>
          <w:rFonts w:ascii="Tw Cen MT" w:hAnsi="Tw Cen MT" w:cstheme="majorHAnsi"/>
          <w:sz w:val="20"/>
          <w:szCs w:val="20"/>
          <w:lang w:val="en-US"/>
        </w:rPr>
        <w:t xml:space="preserve"> of where risks to GBV may be high. In order to come to better conclusions, GBV actors will have to conduct follow-up assessments in areas where DTM indicates risks are high.</w:t>
      </w:r>
    </w:p>
    <w:p w14:paraId="2F0B8164" w14:textId="77777777" w:rsidR="006C081F" w:rsidRDefault="006C081F" w:rsidP="007F5E63">
      <w:pPr>
        <w:pStyle w:val="Geenafstand"/>
        <w:jc w:val="both"/>
        <w:rPr>
          <w:rFonts w:ascii="Tw Cen MT" w:hAnsi="Tw Cen MT" w:cs="Arial"/>
          <w:i/>
          <w:sz w:val="28"/>
          <w:lang w:val="en-US"/>
        </w:rPr>
      </w:pPr>
    </w:p>
    <w:p w14:paraId="6EECB637" w14:textId="3BB069B5" w:rsidR="006C081F" w:rsidRPr="00E43655" w:rsidRDefault="006C081F" w:rsidP="006C081F">
      <w:pPr>
        <w:pStyle w:val="Geenafstand"/>
        <w:rPr>
          <w:rFonts w:ascii="Tw Cen MT" w:hAnsi="Tw Cen MT" w:cs="Arial"/>
          <w:sz w:val="24"/>
          <w:lang w:val="en-US"/>
        </w:rPr>
      </w:pPr>
      <w:r w:rsidRPr="00E43655">
        <w:rPr>
          <w:rFonts w:ascii="Tw Cen MT" w:hAnsi="Tw Cen MT" w:cs="Arial"/>
          <w:sz w:val="24"/>
          <w:lang w:val="en-US"/>
        </w:rPr>
        <w:t>What</w:t>
      </w:r>
      <w:r w:rsidR="00E43655">
        <w:rPr>
          <w:rFonts w:ascii="Tw Cen MT" w:hAnsi="Tw Cen MT" w:cs="Arial"/>
          <w:sz w:val="24"/>
          <w:lang w:val="en-US"/>
        </w:rPr>
        <w:t xml:space="preserve"> should I</w:t>
      </w:r>
      <w:r w:rsidRPr="00E43655">
        <w:rPr>
          <w:rFonts w:ascii="Tw Cen MT" w:hAnsi="Tw Cen MT" w:cs="Arial"/>
          <w:sz w:val="24"/>
          <w:lang w:val="en-US"/>
        </w:rPr>
        <w:t xml:space="preserve"> </w:t>
      </w:r>
      <w:r w:rsidRPr="00E43655">
        <w:rPr>
          <w:rFonts w:ascii="Tw Cen MT" w:hAnsi="Tw Cen MT" w:cs="Arial"/>
          <w:b/>
          <w:sz w:val="24"/>
          <w:lang w:val="en-US"/>
        </w:rPr>
        <w:t>NOT</w:t>
      </w:r>
      <w:r w:rsidRPr="00E43655">
        <w:rPr>
          <w:rFonts w:ascii="Tw Cen MT" w:hAnsi="Tw Cen MT" w:cs="Arial"/>
          <w:sz w:val="24"/>
          <w:lang w:val="en-US"/>
        </w:rPr>
        <w:t xml:space="preserve"> </w:t>
      </w:r>
      <w:r w:rsidR="00E43655">
        <w:rPr>
          <w:rFonts w:ascii="Tw Cen MT" w:hAnsi="Tw Cen MT" w:cs="Arial"/>
          <w:sz w:val="24"/>
          <w:lang w:val="en-US"/>
        </w:rPr>
        <w:t>include?</w:t>
      </w:r>
    </w:p>
    <w:p w14:paraId="0A1758F7" w14:textId="2CD261F5" w:rsidR="006C081F" w:rsidRDefault="00E43655" w:rsidP="006C081F">
      <w:pPr>
        <w:pStyle w:val="Geenafstand"/>
        <w:jc w:val="both"/>
        <w:rPr>
          <w:rFonts w:ascii="Tw Cen MT" w:hAnsi="Tw Cen MT" w:cs="Arial"/>
          <w:sz w:val="20"/>
          <w:lang w:val="en-US"/>
        </w:rPr>
      </w:pPr>
      <w:r>
        <w:rPr>
          <w:rFonts w:ascii="Tw Cen MT" w:hAnsi="Tw Cen MT" w:cs="Arial"/>
          <w:sz w:val="20"/>
          <w:lang w:val="en-US"/>
        </w:rPr>
        <w:t xml:space="preserve">You may potentially want to include questions different to the ones that are proposed in the Field Companion – as some questions you come up with are better suited to your context. In all contexts, keep in mind: </w:t>
      </w:r>
    </w:p>
    <w:p w14:paraId="461F8425" w14:textId="77777777" w:rsidR="00E43655" w:rsidRPr="00E43655" w:rsidRDefault="00E43655" w:rsidP="006C081F">
      <w:pPr>
        <w:pStyle w:val="Geenafstand"/>
        <w:jc w:val="both"/>
        <w:rPr>
          <w:rFonts w:ascii="Tw Cen MT" w:hAnsi="Tw Cen MT" w:cs="Arial"/>
          <w:sz w:val="20"/>
          <w:lang w:val="en-US"/>
        </w:rPr>
      </w:pPr>
    </w:p>
    <w:p w14:paraId="3CBCAE4F" w14:textId="77777777" w:rsidR="006C081F" w:rsidRPr="00B45A0D" w:rsidRDefault="006C081F" w:rsidP="006C081F">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w Cen MT" w:hAnsi="Tw Cen MT" w:cs="Arial"/>
          <w:sz w:val="24"/>
          <w:lang w:val="en-US"/>
        </w:rPr>
      </w:pPr>
      <w:r w:rsidRPr="00B45A0D">
        <w:rPr>
          <w:rFonts w:ascii="Tw Cen MT" w:hAnsi="Tw Cen MT" w:cs="Arial"/>
          <w:b/>
          <w:sz w:val="24"/>
          <w:lang w:val="en-US"/>
        </w:rPr>
        <w:t xml:space="preserve">Do not include GBV questions that aim at collecting data on incidence, prevalence, or types of GBV occurring. The DTM does not have the appropriate methodology to collect such information. Inclusion of these questions can </w:t>
      </w:r>
      <w:r>
        <w:rPr>
          <w:rFonts w:ascii="Tw Cen MT" w:hAnsi="Tw Cen MT" w:cs="Arial"/>
          <w:b/>
          <w:sz w:val="24"/>
          <w:lang w:val="en-US"/>
        </w:rPr>
        <w:t xml:space="preserve">harm people. </w:t>
      </w:r>
    </w:p>
    <w:p w14:paraId="44C1B932" w14:textId="77777777" w:rsidR="006C081F" w:rsidRDefault="006C081F" w:rsidP="006C081F">
      <w:pPr>
        <w:pStyle w:val="Geenafstand"/>
        <w:jc w:val="both"/>
        <w:rPr>
          <w:rFonts w:ascii="Tw Cen MT" w:hAnsi="Tw Cen MT" w:cstheme="majorHAnsi"/>
          <w:sz w:val="20"/>
          <w:szCs w:val="20"/>
          <w:lang w:val="en-US"/>
        </w:rPr>
      </w:pPr>
    </w:p>
    <w:p w14:paraId="56EA7BC5" w14:textId="1450537E" w:rsidR="006C081F" w:rsidRPr="00BB425C" w:rsidRDefault="006C081F" w:rsidP="006C081F">
      <w:pPr>
        <w:pStyle w:val="Geenafstand"/>
        <w:jc w:val="both"/>
        <w:rPr>
          <w:rFonts w:ascii="Tw Cen MT" w:hAnsi="Tw Cen MT" w:cstheme="majorHAnsi"/>
          <w:sz w:val="20"/>
          <w:szCs w:val="20"/>
          <w:lang w:val="en-US"/>
        </w:rPr>
      </w:pPr>
      <w:r w:rsidRPr="009D70E8">
        <w:rPr>
          <w:rFonts w:ascii="Tw Cen MT" w:hAnsi="Tw Cen MT" w:cs="Arial"/>
          <w:sz w:val="20"/>
          <w:szCs w:val="20"/>
          <w:lang w:val="en-US"/>
        </w:rPr>
        <w:t xml:space="preserve">Remember that there is shared agreement at the highest level that </w:t>
      </w:r>
      <w:r w:rsidR="00E43655">
        <w:rPr>
          <w:rFonts w:ascii="Tw Cen MT" w:hAnsi="Tw Cen MT" w:cs="Arial"/>
          <w:sz w:val="20"/>
          <w:szCs w:val="20"/>
          <w:lang w:val="en-US"/>
        </w:rPr>
        <w:t>data on incidence, prevalence, or types of occurring GBV</w:t>
      </w:r>
      <w:r w:rsidRPr="009D70E8">
        <w:rPr>
          <w:rFonts w:ascii="Tw Cen MT" w:hAnsi="Tw Cen MT" w:cs="Arial"/>
          <w:sz w:val="20"/>
          <w:szCs w:val="20"/>
          <w:lang w:val="en-US"/>
        </w:rPr>
        <w:t xml:space="preserve"> (e.g., on number of reported cases) is </w:t>
      </w:r>
      <w:r w:rsidRPr="00E43655">
        <w:rPr>
          <w:rFonts w:ascii="Tw Cen MT" w:hAnsi="Tw Cen MT" w:cs="Arial"/>
          <w:b/>
          <w:sz w:val="20"/>
          <w:szCs w:val="20"/>
          <w:lang w:val="en-US"/>
        </w:rPr>
        <w:t>not needed before taking</w:t>
      </w:r>
      <w:r w:rsidRPr="009D70E8">
        <w:rPr>
          <w:rFonts w:ascii="Tw Cen MT" w:hAnsi="Tw Cen MT" w:cs="Arial"/>
          <w:sz w:val="20"/>
          <w:szCs w:val="20"/>
          <w:lang w:val="en-US"/>
        </w:rPr>
        <w:t xml:space="preserve"> </w:t>
      </w:r>
      <w:r w:rsidRPr="00E43655">
        <w:rPr>
          <w:rFonts w:ascii="Tw Cen MT" w:hAnsi="Tw Cen MT" w:cs="Arial"/>
          <w:b/>
          <w:sz w:val="20"/>
          <w:szCs w:val="20"/>
          <w:lang w:val="en-US"/>
        </w:rPr>
        <w:t>action,</w:t>
      </w:r>
      <w:r w:rsidRPr="009D70E8">
        <w:rPr>
          <w:rFonts w:ascii="Tw Cen MT" w:hAnsi="Tw Cen MT" w:cs="Arial"/>
          <w:sz w:val="20"/>
          <w:szCs w:val="20"/>
          <w:lang w:val="en-US"/>
        </w:rPr>
        <w:t xml:space="preserve"> and that humanitarian </w:t>
      </w:r>
      <w:r w:rsidRPr="009D70E8">
        <w:rPr>
          <w:rFonts w:ascii="Tw Cen MT" w:hAnsi="Tw Cen MT" w:cs="Arial"/>
          <w:sz w:val="20"/>
          <w:szCs w:val="20"/>
          <w:lang w:val="en-US"/>
        </w:rPr>
        <w:lastRenderedPageBreak/>
        <w:t xml:space="preserve">workers should </w:t>
      </w:r>
      <w:r w:rsidRPr="00BB425C">
        <w:rPr>
          <w:rFonts w:ascii="Tw Cen MT" w:hAnsi="Tw Cen MT" w:cstheme="majorHAnsi"/>
          <w:sz w:val="20"/>
          <w:szCs w:val="20"/>
          <w:lang w:val="en-US"/>
        </w:rPr>
        <w:t>“Assume</w:t>
      </w:r>
      <w:r w:rsidRPr="00FF653B">
        <w:rPr>
          <w:rFonts w:ascii="Tw Cen MT" w:hAnsi="Tw Cen MT" w:cstheme="majorHAnsi"/>
          <w:sz w:val="20"/>
          <w:szCs w:val="20"/>
          <w:lang w:val="en-US"/>
        </w:rPr>
        <w:t xml:space="preserve"> GBV is taking place […] </w:t>
      </w:r>
      <w:r w:rsidRPr="0082266E">
        <w:rPr>
          <w:rFonts w:ascii="Tw Cen MT" w:hAnsi="Tw Cen MT"/>
          <w:sz w:val="20"/>
          <w:szCs w:val="20"/>
          <w:lang w:val="en-US"/>
        </w:rPr>
        <w:t>regardless of whether the prevalence or incidence of various forms of GBV is ‘known’ and verified”</w:t>
      </w:r>
      <w:r w:rsidRPr="00BB425C">
        <w:rPr>
          <w:rStyle w:val="Voetnootmarkering"/>
          <w:rFonts w:ascii="Tw Cen MT" w:hAnsi="Tw Cen MT" w:cstheme="majorHAnsi"/>
          <w:sz w:val="20"/>
          <w:szCs w:val="20"/>
          <w:lang w:val="en-US"/>
        </w:rPr>
        <w:footnoteReference w:id="2"/>
      </w:r>
      <w:r w:rsidRPr="0082266E">
        <w:rPr>
          <w:rFonts w:ascii="Tw Cen MT" w:hAnsi="Tw Cen MT"/>
          <w:sz w:val="20"/>
          <w:szCs w:val="20"/>
          <w:lang w:val="en-US"/>
        </w:rPr>
        <w:t>.</w:t>
      </w:r>
    </w:p>
    <w:p w14:paraId="7C9B0EC7" w14:textId="77777777" w:rsidR="006C081F" w:rsidRPr="00FF653B" w:rsidRDefault="006C081F" w:rsidP="006C081F">
      <w:pPr>
        <w:pStyle w:val="Geenafstand"/>
        <w:jc w:val="both"/>
        <w:rPr>
          <w:rFonts w:ascii="Tw Cen MT" w:hAnsi="Tw Cen MT" w:cstheme="majorHAnsi"/>
          <w:sz w:val="20"/>
          <w:szCs w:val="20"/>
          <w:lang w:val="en-US"/>
        </w:rPr>
      </w:pPr>
    </w:p>
    <w:p w14:paraId="6392DCCE" w14:textId="2E8F6259" w:rsidR="006C081F" w:rsidRDefault="006C081F" w:rsidP="006C081F">
      <w:pPr>
        <w:pStyle w:val="Geenafstand"/>
        <w:jc w:val="both"/>
        <w:rPr>
          <w:rFonts w:ascii="Tw Cen MT" w:hAnsi="Tw Cen MT" w:cstheme="majorHAnsi"/>
          <w:sz w:val="20"/>
          <w:szCs w:val="20"/>
          <w:lang w:val="en-US"/>
        </w:rPr>
      </w:pPr>
      <w:r w:rsidRPr="00FF653B">
        <w:rPr>
          <w:rFonts w:ascii="Tw Cen MT" w:hAnsi="Tw Cen MT" w:cstheme="majorHAnsi"/>
          <w:sz w:val="20"/>
          <w:szCs w:val="20"/>
          <w:lang w:val="en-US"/>
        </w:rPr>
        <w:t xml:space="preserve">As is common practice within the GBV AoR, the questions in the DTM </w:t>
      </w:r>
      <w:r w:rsidRPr="00FF653B">
        <w:rPr>
          <w:rFonts w:ascii="Tw Cen MT" w:hAnsi="Tw Cen MT" w:cstheme="majorHAnsi"/>
          <w:i/>
          <w:sz w:val="20"/>
          <w:szCs w:val="20"/>
          <w:lang w:val="en-US"/>
        </w:rPr>
        <w:t xml:space="preserve">do not ask for GBV related incidents: </w:t>
      </w:r>
      <w:r w:rsidRPr="00FF653B">
        <w:rPr>
          <w:rFonts w:ascii="Tw Cen MT" w:hAnsi="Tw Cen MT" w:cstheme="majorHAnsi"/>
          <w:sz w:val="20"/>
          <w:szCs w:val="20"/>
          <w:lang w:val="en-US"/>
        </w:rPr>
        <w:t xml:space="preserve">such questions will not be found in the Field </w:t>
      </w:r>
      <w:r w:rsidRPr="009D70E8">
        <w:rPr>
          <w:rFonts w:ascii="Tw Cen MT" w:hAnsi="Tw Cen MT" w:cstheme="majorHAnsi"/>
          <w:sz w:val="20"/>
          <w:szCs w:val="20"/>
          <w:lang w:val="en-US"/>
        </w:rPr>
        <w:t xml:space="preserve">Companion and should not be included in the DTM questionnaires </w:t>
      </w:r>
      <w:r w:rsidR="00986EA4">
        <w:rPr>
          <w:rFonts w:ascii="Tw Cen MT" w:hAnsi="Tw Cen MT" w:cstheme="majorHAnsi"/>
          <w:sz w:val="20"/>
          <w:szCs w:val="20"/>
          <w:lang w:val="en-US"/>
        </w:rPr>
        <w:t>i</w:t>
      </w:r>
      <w:r w:rsidRPr="009D70E8">
        <w:rPr>
          <w:rFonts w:ascii="Tw Cen MT" w:hAnsi="Tw Cen MT" w:cstheme="majorHAnsi"/>
          <w:sz w:val="20"/>
          <w:szCs w:val="20"/>
          <w:lang w:val="en-US"/>
        </w:rPr>
        <w:t>n the field. In addition to being unsafe and possibly putting enumerators and/or</w:t>
      </w:r>
      <w:r w:rsidR="00E43655">
        <w:rPr>
          <w:rFonts w:ascii="Tw Cen MT" w:hAnsi="Tw Cen MT" w:cstheme="majorHAnsi"/>
          <w:sz w:val="20"/>
          <w:szCs w:val="20"/>
          <w:lang w:val="en-US"/>
        </w:rPr>
        <w:t xml:space="preserve"> the affected population</w:t>
      </w:r>
      <w:r w:rsidRPr="009D70E8">
        <w:rPr>
          <w:rFonts w:ascii="Tw Cen MT" w:hAnsi="Tw Cen MT" w:cstheme="majorHAnsi"/>
          <w:sz w:val="20"/>
          <w:szCs w:val="20"/>
          <w:lang w:val="en-US"/>
        </w:rPr>
        <w:t xml:space="preserve"> at risk, DTM enumerators are not GBV experts, and cannot provide follow up should incidents of GBV be disclosed (except referrals, where such option exists). Moreover, from a methodolog</w:t>
      </w:r>
      <w:r w:rsidR="00986EA4">
        <w:rPr>
          <w:rFonts w:ascii="Tw Cen MT" w:hAnsi="Tw Cen MT" w:cstheme="majorHAnsi"/>
          <w:sz w:val="20"/>
          <w:szCs w:val="20"/>
          <w:lang w:val="en-US"/>
        </w:rPr>
        <w:t>ical</w:t>
      </w:r>
      <w:r w:rsidRPr="009D70E8">
        <w:rPr>
          <w:rFonts w:ascii="Tw Cen MT" w:hAnsi="Tw Cen MT" w:cstheme="majorHAnsi"/>
          <w:sz w:val="20"/>
          <w:szCs w:val="20"/>
          <w:lang w:val="en-US"/>
        </w:rPr>
        <w:t xml:space="preserve"> point of view, asking direct questions on GBV incidents to key informant</w:t>
      </w:r>
      <w:r w:rsidR="00986EA4">
        <w:rPr>
          <w:rFonts w:ascii="Tw Cen MT" w:hAnsi="Tw Cen MT" w:cstheme="majorHAnsi"/>
          <w:sz w:val="20"/>
          <w:szCs w:val="20"/>
          <w:lang w:val="en-US"/>
        </w:rPr>
        <w:t>s</w:t>
      </w:r>
      <w:r w:rsidRPr="009D70E8">
        <w:rPr>
          <w:rFonts w:ascii="Tw Cen MT" w:hAnsi="Tw Cen MT" w:cstheme="majorHAnsi"/>
          <w:sz w:val="20"/>
          <w:szCs w:val="20"/>
          <w:lang w:val="en-US"/>
        </w:rPr>
        <w:t xml:space="preserve"> (who, in addition, is in most cases a</w:t>
      </w:r>
      <w:r w:rsidR="00E43655">
        <w:rPr>
          <w:rFonts w:ascii="Tw Cen MT" w:hAnsi="Tw Cen MT" w:cstheme="majorHAnsi"/>
          <w:sz w:val="20"/>
          <w:szCs w:val="20"/>
          <w:lang w:val="en-US"/>
        </w:rPr>
        <w:t>re</w:t>
      </w:r>
      <w:r w:rsidRPr="009D70E8">
        <w:rPr>
          <w:rFonts w:ascii="Tw Cen MT" w:hAnsi="Tw Cen MT" w:cstheme="majorHAnsi"/>
          <w:sz w:val="20"/>
          <w:szCs w:val="20"/>
          <w:lang w:val="en-US"/>
        </w:rPr>
        <w:t xml:space="preserve"> male) is unlikely to yield results that are reliable or useful.</w:t>
      </w:r>
    </w:p>
    <w:p w14:paraId="7450B424" w14:textId="571BAE15" w:rsidR="00B54B16" w:rsidRDefault="00B54B16" w:rsidP="006C081F">
      <w:pPr>
        <w:pStyle w:val="Geenafstand"/>
        <w:jc w:val="both"/>
        <w:rPr>
          <w:rFonts w:ascii="Tw Cen MT" w:hAnsi="Tw Cen MT" w:cstheme="majorHAnsi"/>
          <w:sz w:val="20"/>
          <w:szCs w:val="20"/>
          <w:lang w:val="en-US"/>
        </w:rPr>
      </w:pPr>
    </w:p>
    <w:p w14:paraId="5BF22FC6" w14:textId="02A02713" w:rsidR="00B54B16" w:rsidRPr="009D70E8" w:rsidRDefault="007363A0" w:rsidP="006C081F">
      <w:pPr>
        <w:pStyle w:val="Geenafstand"/>
        <w:jc w:val="both"/>
        <w:rPr>
          <w:rFonts w:ascii="Tw Cen MT" w:hAnsi="Tw Cen MT" w:cstheme="majorHAnsi"/>
          <w:sz w:val="20"/>
          <w:szCs w:val="20"/>
          <w:lang w:val="en-US"/>
        </w:rPr>
      </w:pPr>
      <w:r>
        <w:rPr>
          <w:rFonts w:ascii="Arial" w:hAnsi="Arial" w:cs="Arial"/>
          <w:noProof/>
          <w:lang w:val="en-US"/>
        </w:rPr>
        <mc:AlternateContent>
          <mc:Choice Requires="wps">
            <w:drawing>
              <wp:anchor distT="0" distB="0" distL="114300" distR="114300" simplePos="0" relativeHeight="251667456" behindDoc="0" locked="0" layoutInCell="1" allowOverlap="1" wp14:anchorId="307A1875" wp14:editId="4C3A90A2">
                <wp:simplePos x="0" y="0"/>
                <wp:positionH relativeFrom="margin">
                  <wp:posOffset>-635</wp:posOffset>
                </wp:positionH>
                <wp:positionV relativeFrom="paragraph">
                  <wp:posOffset>137160</wp:posOffset>
                </wp:positionV>
                <wp:extent cx="5753100" cy="1546860"/>
                <wp:effectExtent l="0" t="0" r="19050" b="15240"/>
                <wp:wrapNone/>
                <wp:docPr id="2" name="Tekstvak 2"/>
                <wp:cNvGraphicFramePr/>
                <a:graphic xmlns:a="http://schemas.openxmlformats.org/drawingml/2006/main">
                  <a:graphicData uri="http://schemas.microsoft.com/office/word/2010/wordprocessingShape">
                    <wps:wsp>
                      <wps:cNvSpPr txBox="1"/>
                      <wps:spPr>
                        <a:xfrm>
                          <a:off x="0" y="0"/>
                          <a:ext cx="5753100" cy="1546860"/>
                        </a:xfrm>
                        <a:prstGeom prst="rect">
                          <a:avLst/>
                        </a:prstGeom>
                        <a:solidFill>
                          <a:schemeClr val="bg2"/>
                        </a:solidFill>
                        <a:ln w="6350">
                          <a:solidFill>
                            <a:schemeClr val="bg2"/>
                          </a:solidFill>
                        </a:ln>
                      </wps:spPr>
                      <wps:txbx>
                        <w:txbxContent>
                          <w:p w14:paraId="2CC25C6F" w14:textId="14EAC62B" w:rsidR="00E43655" w:rsidRPr="00B54B16" w:rsidRDefault="00E43655" w:rsidP="00E43655">
                            <w:pPr>
                              <w:pStyle w:val="Geenafstand"/>
                              <w:jc w:val="both"/>
                              <w:rPr>
                                <w:rFonts w:ascii="Tw Cen MT" w:hAnsi="Tw Cen MT" w:cstheme="majorHAnsi"/>
                                <w:i/>
                                <w:sz w:val="24"/>
                                <w:szCs w:val="20"/>
                                <w:lang w:val="en-US"/>
                              </w:rPr>
                            </w:pPr>
                            <w:r>
                              <w:rPr>
                                <w:rFonts w:ascii="Tw Cen MT" w:hAnsi="Tw Cen MT" w:cstheme="majorHAnsi"/>
                                <w:i/>
                                <w:sz w:val="24"/>
                                <w:szCs w:val="20"/>
                                <w:lang w:val="en-US"/>
                              </w:rPr>
                              <w:t>Summary</w:t>
                            </w:r>
                          </w:p>
                          <w:p w14:paraId="28EFE99F" w14:textId="6D4E4002" w:rsidR="00E43655" w:rsidRDefault="00E43655" w:rsidP="00E43655">
                            <w:pPr>
                              <w:pStyle w:val="Geenafstand"/>
                              <w:jc w:val="both"/>
                              <w:rPr>
                                <w:rFonts w:ascii="Tw Cen MT" w:hAnsi="Tw Cen MT" w:cstheme="majorHAnsi"/>
                                <w:sz w:val="20"/>
                                <w:szCs w:val="20"/>
                                <w:lang w:val="en-US"/>
                              </w:rPr>
                            </w:pPr>
                            <w:r>
                              <w:rPr>
                                <w:rFonts w:ascii="Tw Cen MT" w:hAnsi="Tw Cen MT" w:cstheme="majorHAnsi"/>
                                <w:sz w:val="20"/>
                                <w:szCs w:val="20"/>
                                <w:lang w:val="en-US"/>
                              </w:rPr>
                              <w:t xml:space="preserve">The multisectoral needs assessment consists of key informant interviews and is done on a quick and regular basis. The results can be used as </w:t>
                            </w:r>
                            <w:r w:rsidRPr="00CB5782">
                              <w:rPr>
                                <w:rFonts w:ascii="Tw Cen MT" w:hAnsi="Tw Cen MT" w:cstheme="majorHAnsi"/>
                                <w:b/>
                                <w:sz w:val="20"/>
                                <w:szCs w:val="20"/>
                                <w:lang w:val="en-US"/>
                              </w:rPr>
                              <w:t xml:space="preserve">indication on possible </w:t>
                            </w:r>
                            <w:r>
                              <w:rPr>
                                <w:rFonts w:ascii="Tw Cen MT" w:hAnsi="Tw Cen MT" w:cstheme="majorHAnsi"/>
                                <w:b/>
                                <w:sz w:val="20"/>
                                <w:szCs w:val="20"/>
                                <w:lang w:val="en-US"/>
                              </w:rPr>
                              <w:t>gaps in GBV services,</w:t>
                            </w:r>
                            <w:r w:rsidRPr="00CB5782">
                              <w:rPr>
                                <w:rFonts w:ascii="Tw Cen MT" w:hAnsi="Tw Cen MT" w:cstheme="majorHAnsi"/>
                                <w:b/>
                                <w:sz w:val="20"/>
                                <w:szCs w:val="20"/>
                                <w:lang w:val="en-US"/>
                              </w:rPr>
                              <w:t xml:space="preserve"> and</w:t>
                            </w:r>
                            <w:r>
                              <w:rPr>
                                <w:rFonts w:ascii="Tw Cen MT" w:hAnsi="Tw Cen MT" w:cstheme="majorHAnsi"/>
                                <w:b/>
                                <w:sz w:val="20"/>
                                <w:szCs w:val="20"/>
                                <w:lang w:val="en-US"/>
                              </w:rPr>
                              <w:t xml:space="preserve"> possible</w:t>
                            </w:r>
                            <w:r w:rsidRPr="00CB5782">
                              <w:rPr>
                                <w:rFonts w:ascii="Tw Cen MT" w:hAnsi="Tw Cen MT" w:cstheme="majorHAnsi"/>
                                <w:b/>
                                <w:sz w:val="20"/>
                                <w:szCs w:val="20"/>
                                <w:lang w:val="en-US"/>
                              </w:rPr>
                              <w:t xml:space="preserve"> GBV risks.</w:t>
                            </w:r>
                            <w:r w:rsidRPr="00CB5782">
                              <w:rPr>
                                <w:rFonts w:ascii="Tw Cen MT" w:hAnsi="Tw Cen MT" w:cstheme="majorHAnsi"/>
                                <w:sz w:val="20"/>
                                <w:szCs w:val="20"/>
                                <w:lang w:val="en-US"/>
                              </w:rPr>
                              <w:t xml:space="preserve"> </w:t>
                            </w:r>
                            <w:r>
                              <w:rPr>
                                <w:rFonts w:ascii="Tw Cen MT" w:hAnsi="Tw Cen MT" w:cstheme="majorHAnsi"/>
                                <w:sz w:val="20"/>
                                <w:szCs w:val="20"/>
                                <w:lang w:val="en-US"/>
                              </w:rPr>
                              <w:t xml:space="preserve">Both DTM personnel as well as GBV sub-cluster Coordinators and IMOs play a role in creating the questionnaire. In the Field Companion, four categories of questions have been included (availability and accessibility of GBV services, general protection questions, and proxy indicators on GBV risks). </w:t>
                            </w:r>
                          </w:p>
                          <w:p w14:paraId="3760E3BE" w14:textId="19B4B025" w:rsidR="00E43655" w:rsidRDefault="00E43655" w:rsidP="00E43655">
                            <w:pPr>
                              <w:pStyle w:val="Geenafstand"/>
                              <w:jc w:val="both"/>
                              <w:rPr>
                                <w:rFonts w:ascii="Tw Cen MT" w:hAnsi="Tw Cen MT" w:cstheme="majorHAnsi"/>
                                <w:sz w:val="20"/>
                                <w:szCs w:val="20"/>
                                <w:lang w:val="en-US"/>
                              </w:rPr>
                            </w:pPr>
                            <w:r>
                              <w:rPr>
                                <w:rFonts w:ascii="Tw Cen MT" w:hAnsi="Tw Cen MT" w:cstheme="majorHAnsi"/>
                                <w:sz w:val="20"/>
                                <w:szCs w:val="20"/>
                                <w:lang w:val="en-US"/>
                              </w:rPr>
                              <w:t>The data from DTM has to be analyzed regularly to inform potential gaps in services, risks to GBV and where actors can do follow up assessments to verify the DTM data</w:t>
                            </w:r>
                            <w:r w:rsidR="007363A0">
                              <w:rPr>
                                <w:rFonts w:ascii="Tw Cen MT" w:hAnsi="Tw Cen MT" w:cstheme="majorHAnsi"/>
                                <w:sz w:val="20"/>
                                <w:szCs w:val="20"/>
                                <w:lang w:val="en-US"/>
                              </w:rPr>
                              <w:t xml:space="preserve"> and inform the GBV response</w:t>
                            </w:r>
                            <w:r>
                              <w:rPr>
                                <w:rFonts w:ascii="Tw Cen MT" w:hAnsi="Tw Cen MT" w:cstheme="majorHAnsi"/>
                                <w:sz w:val="20"/>
                                <w:szCs w:val="20"/>
                                <w:lang w:val="en-US"/>
                              </w:rPr>
                              <w:t>.</w:t>
                            </w:r>
                          </w:p>
                          <w:p w14:paraId="7CAE51E7" w14:textId="4134C56D" w:rsidR="00E43655" w:rsidRPr="00E43655" w:rsidRDefault="00E43655" w:rsidP="00E43655">
                            <w:pPr>
                              <w:pStyle w:val="Geenafstand"/>
                              <w:jc w:val="both"/>
                              <w:rPr>
                                <w:rFonts w:ascii="Tw Cen MT" w:hAnsi="Tw Cen MT" w:cstheme="majorHAnsi"/>
                                <w:b/>
                                <w:sz w:val="20"/>
                                <w:szCs w:val="20"/>
                                <w:lang w:val="en-US"/>
                              </w:rPr>
                            </w:pPr>
                            <w:r>
                              <w:rPr>
                                <w:rFonts w:ascii="Tw Cen MT" w:hAnsi="Tw Cen MT" w:cstheme="majorHAnsi"/>
                                <w:sz w:val="20"/>
                                <w:szCs w:val="20"/>
                                <w:lang w:val="en-US"/>
                              </w:rPr>
                              <w:t xml:space="preserve">Ensure that no matter where DTM is administered, there are </w:t>
                            </w:r>
                            <w:r>
                              <w:rPr>
                                <w:rFonts w:ascii="Tw Cen MT" w:hAnsi="Tw Cen MT" w:cstheme="majorHAnsi"/>
                                <w:b/>
                                <w:sz w:val="20"/>
                                <w:szCs w:val="20"/>
                                <w:lang w:val="en-US"/>
                              </w:rPr>
                              <w:t xml:space="preserve">no questions </w:t>
                            </w:r>
                            <w:r w:rsidR="007363A0">
                              <w:rPr>
                                <w:rFonts w:ascii="Tw Cen MT" w:hAnsi="Tw Cen MT" w:cstheme="majorHAnsi"/>
                                <w:b/>
                                <w:sz w:val="20"/>
                                <w:szCs w:val="20"/>
                                <w:lang w:val="en-US"/>
                              </w:rPr>
                              <w:t>on GBV incidence, prevalence, or types of GBV.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7A1875" id="Tekstvak 2" o:spid="_x0000_s1027" type="#_x0000_t202" style="position:absolute;left:0;text-align:left;margin-left:-.05pt;margin-top:10.8pt;width:453pt;height:121.8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" fillcolor="#e7e6e6 [3214]" strokecolor="#e7e6e6 [3214]" strokeweight=".5pt">
                <v:textbox>
                  <w:txbxContent>
                    <w:p w14:paraId="2CC25C6F" w14:textId="14EAC62B" w:rsidR="00E43655" w:rsidRPr="00B54B16" w:rsidRDefault="00E43655" w:rsidP="00E43655">
                      <w:pPr>
                        <w:pStyle w:val="NoSpacing"/>
                        <w:jc w:val="both"/>
                        <w:rPr>
                          <w:rFonts w:ascii="Tw Cen MT" w:hAnsi="Tw Cen MT" w:cstheme="majorHAnsi"/>
                          <w:i/>
                          <w:sz w:val="24"/>
                          <w:szCs w:val="20"/>
                          <w:lang w:val="en-US"/>
                        </w:rPr>
                      </w:pPr>
                      <w:r>
                        <w:rPr>
                          <w:rFonts w:ascii="Tw Cen MT" w:hAnsi="Tw Cen MT" w:cstheme="majorHAnsi"/>
                          <w:i/>
                          <w:sz w:val="24"/>
                          <w:szCs w:val="20"/>
                          <w:lang w:val="en-US"/>
                        </w:rPr>
                        <w:t>Summary</w:t>
                      </w:r>
                    </w:p>
                    <w:p w14:paraId="28EFE99F" w14:textId="6D4E4002" w:rsidR="00E43655" w:rsidRDefault="00E43655" w:rsidP="00E43655">
                      <w:pPr>
                        <w:pStyle w:val="NoSpacing"/>
                        <w:jc w:val="both"/>
                        <w:rPr>
                          <w:rFonts w:ascii="Tw Cen MT" w:hAnsi="Tw Cen MT" w:cstheme="majorHAnsi"/>
                          <w:sz w:val="20"/>
                          <w:szCs w:val="20"/>
                          <w:lang w:val="en-US"/>
                        </w:rPr>
                      </w:pPr>
                      <w:r>
                        <w:rPr>
                          <w:rFonts w:ascii="Tw Cen MT" w:hAnsi="Tw Cen MT" w:cstheme="majorHAnsi"/>
                          <w:sz w:val="20"/>
                          <w:szCs w:val="20"/>
                          <w:lang w:val="en-US"/>
                        </w:rPr>
                        <w:t xml:space="preserve">The multisectoral needs assessment consists of key informant interviews and is done on a quick and regular basis. The results can be used as </w:t>
                      </w:r>
                      <w:r w:rsidRPr="00CB5782">
                        <w:rPr>
                          <w:rFonts w:ascii="Tw Cen MT" w:hAnsi="Tw Cen MT" w:cstheme="majorHAnsi"/>
                          <w:b/>
                          <w:sz w:val="20"/>
                          <w:szCs w:val="20"/>
                          <w:lang w:val="en-US"/>
                        </w:rPr>
                        <w:t xml:space="preserve">indication on possible </w:t>
                      </w:r>
                      <w:r>
                        <w:rPr>
                          <w:rFonts w:ascii="Tw Cen MT" w:hAnsi="Tw Cen MT" w:cstheme="majorHAnsi"/>
                          <w:b/>
                          <w:sz w:val="20"/>
                          <w:szCs w:val="20"/>
                          <w:lang w:val="en-US"/>
                        </w:rPr>
                        <w:t>gaps in GBV services,</w:t>
                      </w:r>
                      <w:r w:rsidRPr="00CB5782">
                        <w:rPr>
                          <w:rFonts w:ascii="Tw Cen MT" w:hAnsi="Tw Cen MT" w:cstheme="majorHAnsi"/>
                          <w:b/>
                          <w:sz w:val="20"/>
                          <w:szCs w:val="20"/>
                          <w:lang w:val="en-US"/>
                        </w:rPr>
                        <w:t xml:space="preserve"> and</w:t>
                      </w:r>
                      <w:r>
                        <w:rPr>
                          <w:rFonts w:ascii="Tw Cen MT" w:hAnsi="Tw Cen MT" w:cstheme="majorHAnsi"/>
                          <w:b/>
                          <w:sz w:val="20"/>
                          <w:szCs w:val="20"/>
                          <w:lang w:val="en-US"/>
                        </w:rPr>
                        <w:t xml:space="preserve"> possible</w:t>
                      </w:r>
                      <w:r w:rsidRPr="00CB5782">
                        <w:rPr>
                          <w:rFonts w:ascii="Tw Cen MT" w:hAnsi="Tw Cen MT" w:cstheme="majorHAnsi"/>
                          <w:b/>
                          <w:sz w:val="20"/>
                          <w:szCs w:val="20"/>
                          <w:lang w:val="en-US"/>
                        </w:rPr>
                        <w:t xml:space="preserve"> GBV risks.</w:t>
                      </w:r>
                      <w:r w:rsidRPr="00CB5782">
                        <w:rPr>
                          <w:rFonts w:ascii="Tw Cen MT" w:hAnsi="Tw Cen MT" w:cstheme="majorHAnsi"/>
                          <w:sz w:val="20"/>
                          <w:szCs w:val="20"/>
                          <w:lang w:val="en-US"/>
                        </w:rPr>
                        <w:t xml:space="preserve"> </w:t>
                      </w:r>
                      <w:r>
                        <w:rPr>
                          <w:rFonts w:ascii="Tw Cen MT" w:hAnsi="Tw Cen MT" w:cstheme="majorHAnsi"/>
                          <w:sz w:val="20"/>
                          <w:szCs w:val="20"/>
                          <w:lang w:val="en-US"/>
                        </w:rPr>
                        <w:t xml:space="preserve">Both DTM personnel as well as GBV sub-cluster Coordinators and IMOs play a role in creating the questionnaire. In the Field Companion, four categories of questions have been included (availability and accessibility of GBV services, general protection questions, and proxy indicators on GBV risks). </w:t>
                      </w:r>
                    </w:p>
                    <w:p w14:paraId="3760E3BE" w14:textId="19B4B025" w:rsidR="00E43655" w:rsidRDefault="00E43655" w:rsidP="00E43655">
                      <w:pPr>
                        <w:pStyle w:val="NoSpacing"/>
                        <w:jc w:val="both"/>
                        <w:rPr>
                          <w:rFonts w:ascii="Tw Cen MT" w:hAnsi="Tw Cen MT" w:cstheme="majorHAnsi"/>
                          <w:sz w:val="20"/>
                          <w:szCs w:val="20"/>
                          <w:lang w:val="en-US"/>
                        </w:rPr>
                      </w:pPr>
                      <w:r>
                        <w:rPr>
                          <w:rFonts w:ascii="Tw Cen MT" w:hAnsi="Tw Cen MT" w:cstheme="majorHAnsi"/>
                          <w:sz w:val="20"/>
                          <w:szCs w:val="20"/>
                          <w:lang w:val="en-US"/>
                        </w:rPr>
                        <w:t xml:space="preserve">The data from DTM </w:t>
                      </w:r>
                      <w:proofErr w:type="gramStart"/>
                      <w:r>
                        <w:rPr>
                          <w:rFonts w:ascii="Tw Cen MT" w:hAnsi="Tw Cen MT" w:cstheme="majorHAnsi"/>
                          <w:sz w:val="20"/>
                          <w:szCs w:val="20"/>
                          <w:lang w:val="en-US"/>
                        </w:rPr>
                        <w:t>has to</w:t>
                      </w:r>
                      <w:proofErr w:type="gramEnd"/>
                      <w:r>
                        <w:rPr>
                          <w:rFonts w:ascii="Tw Cen MT" w:hAnsi="Tw Cen MT" w:cstheme="majorHAnsi"/>
                          <w:sz w:val="20"/>
                          <w:szCs w:val="20"/>
                          <w:lang w:val="en-US"/>
                        </w:rPr>
                        <w:t xml:space="preserve"> be analyzed regularly to inform potential gaps in services, risks to GBV and where actors can do follow up assessments to verify the DTM data</w:t>
                      </w:r>
                      <w:r w:rsidR="007363A0">
                        <w:rPr>
                          <w:rFonts w:ascii="Tw Cen MT" w:hAnsi="Tw Cen MT" w:cstheme="majorHAnsi"/>
                          <w:sz w:val="20"/>
                          <w:szCs w:val="20"/>
                          <w:lang w:val="en-US"/>
                        </w:rPr>
                        <w:t xml:space="preserve"> and inform the GBV response</w:t>
                      </w:r>
                      <w:r>
                        <w:rPr>
                          <w:rFonts w:ascii="Tw Cen MT" w:hAnsi="Tw Cen MT" w:cstheme="majorHAnsi"/>
                          <w:sz w:val="20"/>
                          <w:szCs w:val="20"/>
                          <w:lang w:val="en-US"/>
                        </w:rPr>
                        <w:t>.</w:t>
                      </w:r>
                    </w:p>
                    <w:p w14:paraId="7CAE51E7" w14:textId="4134C56D" w:rsidR="00E43655" w:rsidRPr="00E43655" w:rsidRDefault="00E43655" w:rsidP="00E43655">
                      <w:pPr>
                        <w:pStyle w:val="NoSpacing"/>
                        <w:jc w:val="both"/>
                        <w:rPr>
                          <w:rFonts w:ascii="Tw Cen MT" w:hAnsi="Tw Cen MT" w:cstheme="majorHAnsi"/>
                          <w:b/>
                          <w:sz w:val="20"/>
                          <w:szCs w:val="20"/>
                          <w:lang w:val="en-US"/>
                        </w:rPr>
                      </w:pPr>
                      <w:r>
                        <w:rPr>
                          <w:rFonts w:ascii="Tw Cen MT" w:hAnsi="Tw Cen MT" w:cstheme="majorHAnsi"/>
                          <w:sz w:val="20"/>
                          <w:szCs w:val="20"/>
                          <w:lang w:val="en-US"/>
                        </w:rPr>
                        <w:t xml:space="preserve">Ensure that no matter where DTM is administered, there are </w:t>
                      </w:r>
                      <w:r>
                        <w:rPr>
                          <w:rFonts w:ascii="Tw Cen MT" w:hAnsi="Tw Cen MT" w:cstheme="majorHAnsi"/>
                          <w:b/>
                          <w:sz w:val="20"/>
                          <w:szCs w:val="20"/>
                          <w:lang w:val="en-US"/>
                        </w:rPr>
                        <w:t xml:space="preserve">no questions </w:t>
                      </w:r>
                      <w:r w:rsidR="007363A0">
                        <w:rPr>
                          <w:rFonts w:ascii="Tw Cen MT" w:hAnsi="Tw Cen MT" w:cstheme="majorHAnsi"/>
                          <w:b/>
                          <w:sz w:val="20"/>
                          <w:szCs w:val="20"/>
                          <w:lang w:val="en-US"/>
                        </w:rPr>
                        <w:t>on GBV incidence, prevalence, or types of GBV.</w:t>
                      </w:r>
                    </w:p>
                  </w:txbxContent>
                </v:textbox>
                <w10:wrap anchorx="margin"/>
              </v:shape>
            </w:pict>
          </mc:Fallback>
        </mc:AlternateContent>
      </w:r>
    </w:p>
    <w:p w14:paraId="2C1F191E" w14:textId="280FD662" w:rsidR="006C081F" w:rsidRDefault="006C081F" w:rsidP="007F5E63">
      <w:pPr>
        <w:pStyle w:val="Geenafstand"/>
        <w:jc w:val="both"/>
        <w:rPr>
          <w:rFonts w:ascii="Tw Cen MT" w:hAnsi="Tw Cen MT" w:cs="Arial"/>
          <w:i/>
          <w:sz w:val="28"/>
          <w:lang w:val="en-US"/>
        </w:rPr>
      </w:pPr>
    </w:p>
    <w:p w14:paraId="65A3950B" w14:textId="77777777" w:rsidR="00B54B16" w:rsidRDefault="00B54B16" w:rsidP="007F5E63">
      <w:pPr>
        <w:pStyle w:val="Geenafstand"/>
        <w:jc w:val="both"/>
        <w:rPr>
          <w:rFonts w:ascii="Tw Cen MT" w:hAnsi="Tw Cen MT" w:cs="Arial"/>
          <w:i/>
          <w:sz w:val="28"/>
          <w:lang w:val="en-US"/>
        </w:rPr>
      </w:pPr>
    </w:p>
    <w:p w14:paraId="1D064E4E" w14:textId="654C9812" w:rsidR="001B1D5F" w:rsidRDefault="001B1D5F" w:rsidP="007F5E63">
      <w:pPr>
        <w:pStyle w:val="Geenafstand"/>
        <w:jc w:val="both"/>
        <w:rPr>
          <w:rFonts w:ascii="Tw Cen MT" w:hAnsi="Tw Cen MT" w:cstheme="majorHAnsi"/>
          <w:sz w:val="20"/>
          <w:szCs w:val="20"/>
          <w:lang w:val="en-US"/>
        </w:rPr>
      </w:pPr>
    </w:p>
    <w:p w14:paraId="3F059B63" w14:textId="77777777" w:rsidR="00D91B8D" w:rsidRPr="00354F50" w:rsidRDefault="00D91B8D" w:rsidP="00354F50">
      <w:pPr>
        <w:pStyle w:val="Geenafstand"/>
        <w:rPr>
          <w:rFonts w:ascii="Arial" w:hAnsi="Arial" w:cs="Arial"/>
          <w:lang w:val="en-US"/>
        </w:rPr>
      </w:pPr>
    </w:p>
    <w:sectPr w:rsidR="00D91B8D" w:rsidRPr="00354F50" w:rsidSect="0078234F">
      <w:footerReference w:type="default" r:id="rId8"/>
      <w:headerReference w:type="first" r:id="rId9"/>
      <w:pgSz w:w="11906" w:h="16838"/>
      <w:pgMar w:top="1417" w:right="1417" w:bottom="851"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B79E7B" w14:textId="77777777" w:rsidR="00CE4B88" w:rsidRDefault="00CE4B88" w:rsidP="00235660">
      <w:pPr>
        <w:spacing w:after="0" w:line="240" w:lineRule="auto"/>
      </w:pPr>
      <w:r>
        <w:separator/>
      </w:r>
    </w:p>
  </w:endnote>
  <w:endnote w:type="continuationSeparator" w:id="0">
    <w:p w14:paraId="25B0D1CE" w14:textId="77777777" w:rsidR="00CE4B88" w:rsidRDefault="00CE4B88" w:rsidP="00235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A0002AEF" w:usb1="4000207B" w:usb2="00000000" w:usb3="00000000" w:csb0="000001FF"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7835970"/>
      <w:docPartObj>
        <w:docPartGallery w:val="Page Numbers (Bottom of Page)"/>
        <w:docPartUnique/>
      </w:docPartObj>
    </w:sdtPr>
    <w:sdtEndPr>
      <w:rPr>
        <w:rFonts w:asciiTheme="majorHAnsi" w:hAnsiTheme="majorHAnsi" w:cstheme="majorHAnsi"/>
        <w:sz w:val="16"/>
        <w:szCs w:val="16"/>
      </w:rPr>
    </w:sdtEndPr>
    <w:sdtContent>
      <w:p w14:paraId="1AF4F598" w14:textId="77777777" w:rsidR="00235660" w:rsidRPr="00235660" w:rsidRDefault="00235660" w:rsidP="00235660">
        <w:pPr>
          <w:pStyle w:val="Voettekst"/>
          <w:jc w:val="right"/>
          <w:rPr>
            <w:rFonts w:asciiTheme="majorHAnsi" w:hAnsiTheme="majorHAnsi" w:cstheme="majorHAnsi"/>
            <w:sz w:val="16"/>
            <w:szCs w:val="16"/>
          </w:rPr>
        </w:pPr>
        <w:r w:rsidRPr="00235660">
          <w:rPr>
            <w:rFonts w:asciiTheme="majorHAnsi" w:hAnsiTheme="majorHAnsi" w:cstheme="majorHAnsi"/>
            <w:sz w:val="16"/>
            <w:szCs w:val="16"/>
          </w:rPr>
          <w:fldChar w:fldCharType="begin"/>
        </w:r>
        <w:r w:rsidRPr="00235660">
          <w:rPr>
            <w:rFonts w:asciiTheme="majorHAnsi" w:hAnsiTheme="majorHAnsi" w:cstheme="majorHAnsi"/>
            <w:sz w:val="16"/>
            <w:szCs w:val="16"/>
          </w:rPr>
          <w:instrText>PAGE   \* MERGEFORMAT</w:instrText>
        </w:r>
        <w:r w:rsidRPr="00235660">
          <w:rPr>
            <w:rFonts w:asciiTheme="majorHAnsi" w:hAnsiTheme="majorHAnsi" w:cstheme="majorHAnsi"/>
            <w:sz w:val="16"/>
            <w:szCs w:val="16"/>
          </w:rPr>
          <w:fldChar w:fldCharType="separate"/>
        </w:r>
        <w:r w:rsidRPr="00235660">
          <w:rPr>
            <w:rFonts w:asciiTheme="majorHAnsi" w:hAnsiTheme="majorHAnsi" w:cstheme="majorHAnsi"/>
            <w:sz w:val="16"/>
            <w:szCs w:val="16"/>
          </w:rPr>
          <w:t>2</w:t>
        </w:r>
        <w:r w:rsidRPr="00235660">
          <w:rPr>
            <w:rFonts w:asciiTheme="majorHAnsi" w:hAnsiTheme="majorHAnsi" w:cstheme="majorHAnsi"/>
            <w:sz w:val="16"/>
            <w:szCs w:val="16"/>
          </w:rPr>
          <w:fldChar w:fldCharType="end"/>
        </w:r>
      </w:p>
    </w:sdtContent>
  </w:sdt>
  <w:p w14:paraId="427E7EFE" w14:textId="77777777" w:rsidR="00235660" w:rsidRDefault="0023566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AEC0E7" w14:textId="77777777" w:rsidR="00CE4B88" w:rsidRDefault="00CE4B88" w:rsidP="00235660">
      <w:pPr>
        <w:spacing w:after="0" w:line="240" w:lineRule="auto"/>
      </w:pPr>
      <w:r>
        <w:separator/>
      </w:r>
    </w:p>
  </w:footnote>
  <w:footnote w:type="continuationSeparator" w:id="0">
    <w:p w14:paraId="7F59B8DD" w14:textId="77777777" w:rsidR="00CE4B88" w:rsidRDefault="00CE4B88" w:rsidP="00235660">
      <w:pPr>
        <w:spacing w:after="0" w:line="240" w:lineRule="auto"/>
      </w:pPr>
      <w:r>
        <w:continuationSeparator/>
      </w:r>
    </w:p>
  </w:footnote>
  <w:footnote w:id="1">
    <w:p w14:paraId="56CAFC7F" w14:textId="0AF8078A" w:rsidR="00E72B44" w:rsidRPr="0082266E" w:rsidRDefault="00E72B44" w:rsidP="003E0B36">
      <w:pPr>
        <w:pStyle w:val="Voetnoottekst"/>
        <w:jc w:val="both"/>
        <w:rPr>
          <w:rFonts w:ascii="Tw Cen MT" w:hAnsi="Tw Cen MT"/>
          <w:sz w:val="18"/>
          <w:szCs w:val="18"/>
          <w:lang w:val="en-GB"/>
        </w:rPr>
      </w:pPr>
      <w:r w:rsidRPr="0082266E">
        <w:rPr>
          <w:rStyle w:val="Voetnootmarkering"/>
          <w:rFonts w:ascii="Tw Cen MT" w:hAnsi="Tw Cen MT"/>
          <w:sz w:val="18"/>
          <w:szCs w:val="18"/>
        </w:rPr>
        <w:footnoteRef/>
      </w:r>
      <w:r w:rsidRPr="0082266E">
        <w:rPr>
          <w:rFonts w:ascii="Tw Cen MT" w:hAnsi="Tw Cen MT"/>
          <w:sz w:val="18"/>
          <w:szCs w:val="18"/>
          <w:lang w:val="en-US"/>
        </w:rPr>
        <w:t xml:space="preserve"> </w:t>
      </w:r>
      <w:r w:rsidRPr="0082266E">
        <w:rPr>
          <w:rFonts w:ascii="Tw Cen MT" w:hAnsi="Tw Cen MT"/>
          <w:sz w:val="18"/>
          <w:szCs w:val="18"/>
          <w:lang w:val="en-GB"/>
        </w:rPr>
        <w:t xml:space="preserve">DTM field companion is available in </w:t>
      </w:r>
      <w:hyperlink r:id="rId1" w:history="1">
        <w:r w:rsidRPr="00CE68AE">
          <w:rPr>
            <w:rStyle w:val="Hyperlink"/>
            <w:rFonts w:ascii="Tw Cen MT" w:hAnsi="Tw Cen MT"/>
            <w:sz w:val="18"/>
            <w:szCs w:val="18"/>
            <w:lang w:val="en-GB"/>
          </w:rPr>
          <w:t>Excel</w:t>
        </w:r>
      </w:hyperlink>
      <w:r w:rsidR="00CE68AE">
        <w:rPr>
          <w:rFonts w:ascii="Tw Cen MT" w:hAnsi="Tw Cen MT"/>
          <w:sz w:val="18"/>
          <w:szCs w:val="18"/>
          <w:lang w:val="en-GB"/>
        </w:rPr>
        <w:t xml:space="preserve"> </w:t>
      </w:r>
      <w:r w:rsidRPr="0082266E">
        <w:rPr>
          <w:rFonts w:ascii="Tw Cen MT" w:hAnsi="Tw Cen MT"/>
          <w:sz w:val="18"/>
          <w:szCs w:val="18"/>
          <w:lang w:val="en-GB"/>
        </w:rPr>
        <w:t xml:space="preserve">and </w:t>
      </w:r>
      <w:hyperlink r:id="rId2" w:history="1">
        <w:r w:rsidRPr="00CE68AE">
          <w:rPr>
            <w:rStyle w:val="Hyperlink"/>
            <w:rFonts w:ascii="Tw Cen MT" w:hAnsi="Tw Cen MT"/>
            <w:sz w:val="18"/>
            <w:szCs w:val="18"/>
            <w:lang w:val="en-GB"/>
          </w:rPr>
          <w:t>P</w:t>
        </w:r>
        <w:r w:rsidR="00986EA4" w:rsidRPr="00CE68AE">
          <w:rPr>
            <w:rStyle w:val="Hyperlink"/>
            <w:rFonts w:ascii="Tw Cen MT" w:hAnsi="Tw Cen MT"/>
            <w:sz w:val="18"/>
            <w:szCs w:val="18"/>
            <w:lang w:val="en-GB"/>
          </w:rPr>
          <w:t>DF</w:t>
        </w:r>
      </w:hyperlink>
      <w:r w:rsidRPr="0082266E">
        <w:rPr>
          <w:rFonts w:ascii="Tw Cen MT" w:hAnsi="Tw Cen MT"/>
          <w:sz w:val="18"/>
          <w:szCs w:val="18"/>
          <w:lang w:val="en-GB"/>
        </w:rPr>
        <w:t xml:space="preserve"> on the DTM &amp; Partners Toolkit. </w:t>
      </w:r>
      <w:hyperlink r:id="rId3" w:history="1">
        <w:r w:rsidRPr="00CE68AE">
          <w:rPr>
            <w:rStyle w:val="Hyperlink"/>
            <w:rFonts w:ascii="Tw Cen MT" w:hAnsi="Tw Cen MT"/>
            <w:sz w:val="18"/>
            <w:szCs w:val="18"/>
            <w:lang w:val="en-GB"/>
          </w:rPr>
          <w:t xml:space="preserve">An introduction to the Field </w:t>
        </w:r>
        <w:r w:rsidR="00CE68AE" w:rsidRPr="00CE68AE">
          <w:rPr>
            <w:rStyle w:val="Hyperlink"/>
            <w:rFonts w:ascii="Tw Cen MT" w:hAnsi="Tw Cen MT"/>
            <w:sz w:val="18"/>
            <w:szCs w:val="18"/>
            <w:lang w:val="en-GB"/>
          </w:rPr>
          <w:t>C</w:t>
        </w:r>
        <w:r w:rsidRPr="00CE68AE">
          <w:rPr>
            <w:rStyle w:val="Hyperlink"/>
            <w:rFonts w:ascii="Tw Cen MT" w:hAnsi="Tw Cen MT"/>
            <w:sz w:val="18"/>
            <w:szCs w:val="18"/>
            <w:lang w:val="en-GB"/>
          </w:rPr>
          <w:t>ompanion</w:t>
        </w:r>
      </w:hyperlink>
      <w:r w:rsidRPr="0082266E">
        <w:rPr>
          <w:rFonts w:ascii="Tw Cen MT" w:hAnsi="Tw Cen MT"/>
          <w:sz w:val="18"/>
          <w:szCs w:val="18"/>
          <w:lang w:val="en-GB"/>
        </w:rPr>
        <w:t xml:space="preserve"> is </w:t>
      </w:r>
      <w:r w:rsidR="00CE68AE">
        <w:rPr>
          <w:rFonts w:ascii="Tw Cen MT" w:hAnsi="Tw Cen MT"/>
          <w:sz w:val="18"/>
          <w:szCs w:val="18"/>
          <w:lang w:val="en-GB"/>
        </w:rPr>
        <w:t xml:space="preserve">also </w:t>
      </w:r>
      <w:r w:rsidRPr="0082266E">
        <w:rPr>
          <w:rFonts w:ascii="Tw Cen MT" w:hAnsi="Tw Cen MT"/>
          <w:sz w:val="18"/>
          <w:szCs w:val="18"/>
          <w:lang w:val="en-GB"/>
        </w:rPr>
        <w:t>available</w:t>
      </w:r>
      <w:r w:rsidR="00CE68AE">
        <w:rPr>
          <w:rFonts w:ascii="Tw Cen MT" w:hAnsi="Tw Cen MT"/>
          <w:sz w:val="18"/>
          <w:szCs w:val="18"/>
          <w:lang w:val="en-GB"/>
        </w:rPr>
        <w:t xml:space="preserve">. </w:t>
      </w:r>
      <w:r w:rsidRPr="0082266E">
        <w:rPr>
          <w:rFonts w:ascii="Tw Cen MT" w:hAnsi="Tw Cen MT"/>
          <w:sz w:val="18"/>
          <w:szCs w:val="18"/>
          <w:lang w:val="en-GB"/>
        </w:rPr>
        <w:t xml:space="preserve">Specific GBV guidance can also be found on the </w:t>
      </w:r>
      <w:hyperlink r:id="rId4" w:history="1">
        <w:r w:rsidRPr="00CE68AE">
          <w:rPr>
            <w:rStyle w:val="Hyperlink"/>
            <w:rFonts w:ascii="Tw Cen MT" w:hAnsi="Tw Cen MT"/>
            <w:sz w:val="18"/>
            <w:szCs w:val="18"/>
            <w:lang w:val="en-GB"/>
          </w:rPr>
          <w:t>DTM &amp; Partners Toolkit</w:t>
        </w:r>
      </w:hyperlink>
      <w:r w:rsidR="00CE68AE">
        <w:rPr>
          <w:rFonts w:ascii="Tw Cen MT" w:hAnsi="Tw Cen MT"/>
          <w:sz w:val="18"/>
          <w:szCs w:val="18"/>
          <w:lang w:val="en-GB"/>
        </w:rPr>
        <w:t>.</w:t>
      </w:r>
      <w:r w:rsidRPr="0082266E">
        <w:rPr>
          <w:rFonts w:ascii="Tw Cen MT" w:hAnsi="Tw Cen MT"/>
          <w:sz w:val="18"/>
          <w:szCs w:val="18"/>
          <w:lang w:val="en-GB"/>
        </w:rPr>
        <w:t xml:space="preserve"> </w:t>
      </w:r>
    </w:p>
  </w:footnote>
  <w:footnote w:id="2">
    <w:p w14:paraId="142DB610" w14:textId="2634A635" w:rsidR="006C081F" w:rsidRPr="00CE68AE" w:rsidRDefault="006C081F" w:rsidP="00CE68AE">
      <w:pPr>
        <w:pStyle w:val="Voetnoottekst"/>
        <w:jc w:val="both"/>
        <w:rPr>
          <w:rFonts w:ascii="Tw Cen MT" w:hAnsi="Tw Cen MT"/>
          <w:sz w:val="18"/>
          <w:szCs w:val="18"/>
          <w:lang w:val="en-US"/>
        </w:rPr>
      </w:pPr>
      <w:r w:rsidRPr="0082266E">
        <w:rPr>
          <w:rStyle w:val="Voetnootmarkering"/>
          <w:rFonts w:ascii="Tw Cen MT" w:hAnsi="Tw Cen MT"/>
          <w:sz w:val="18"/>
          <w:szCs w:val="18"/>
        </w:rPr>
        <w:footnoteRef/>
      </w:r>
      <w:r w:rsidRPr="0082266E">
        <w:rPr>
          <w:rFonts w:ascii="Tw Cen MT" w:hAnsi="Tw Cen MT"/>
          <w:sz w:val="18"/>
          <w:szCs w:val="18"/>
          <w:lang w:val="en-US"/>
        </w:rPr>
        <w:t xml:space="preserve"> “Waiting for or seeking population-based data on the true magnitude of GBV should not be a priority in an emergency due to safety and ethical challenges in collecting such data. With this in mind, all humanitarian personnel ought to assume GBV is occurring and threatening affected populations; treat it as a serious and life-threatening problem; and </w:t>
      </w:r>
      <w:r w:rsidRPr="0082266E">
        <w:rPr>
          <w:rFonts w:ascii="Tw Cen MT" w:hAnsi="Tw Cen MT"/>
          <w:b/>
          <w:sz w:val="18"/>
          <w:szCs w:val="18"/>
          <w:lang w:val="en-US"/>
        </w:rPr>
        <w:t>take actions based on sector recommendations in these Guidelines, regardless of the presence or absence of concrete ‘evidence</w:t>
      </w:r>
      <w:r w:rsidRPr="0082266E">
        <w:rPr>
          <w:rFonts w:ascii="Tw Cen MT" w:hAnsi="Tw Cen MT"/>
          <w:sz w:val="18"/>
          <w:szCs w:val="18"/>
          <w:lang w:val="en-US"/>
        </w:rPr>
        <w:t xml:space="preserve">’.” </w:t>
      </w:r>
      <w:hyperlink r:id="rId5" w:history="1">
        <w:r w:rsidRPr="00CE68AE">
          <w:rPr>
            <w:rStyle w:val="Hyperlink"/>
            <w:rFonts w:ascii="Tw Cen MT" w:hAnsi="Tw Cen MT"/>
            <w:sz w:val="18"/>
            <w:szCs w:val="18"/>
            <w:lang w:val="en-US"/>
          </w:rPr>
          <w:t>IASC Guideline for Integrating Gender-Based Violence Interventions in Humanitarian Action</w:t>
        </w:r>
      </w:hyperlink>
      <w:r w:rsidR="00CE68AE">
        <w:rPr>
          <w:rFonts w:ascii="Tw Cen MT" w:hAnsi="Tw Cen MT"/>
          <w:sz w:val="18"/>
          <w:szCs w:val="18"/>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C7517" w14:textId="21A2B864" w:rsidR="00B45A0D" w:rsidRDefault="00B45A0D">
    <w:pPr>
      <w:pStyle w:val="Koptekst"/>
    </w:pPr>
    <w:r>
      <w:rPr>
        <w:noProof/>
      </w:rPr>
      <mc:AlternateContent>
        <mc:Choice Requires="wps">
          <w:drawing>
            <wp:anchor distT="45720" distB="45720" distL="114300" distR="114300" simplePos="0" relativeHeight="251661312" behindDoc="0" locked="0" layoutInCell="1" allowOverlap="1" wp14:anchorId="7A888E18" wp14:editId="67B673E0">
              <wp:simplePos x="0" y="0"/>
              <wp:positionH relativeFrom="margin">
                <wp:posOffset>-130175</wp:posOffset>
              </wp:positionH>
              <wp:positionV relativeFrom="paragraph">
                <wp:posOffset>-365760</wp:posOffset>
              </wp:positionV>
              <wp:extent cx="6697980" cy="1036320"/>
              <wp:effectExtent l="0" t="0" r="7620" b="0"/>
              <wp:wrapSquare wrapText="bothSides"/>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7980" cy="1036320"/>
                      </a:xfrm>
                      <a:prstGeom prst="rect">
                        <a:avLst/>
                      </a:prstGeom>
                      <a:solidFill>
                        <a:srgbClr val="FFFFFF"/>
                      </a:solidFill>
                      <a:ln w="9525">
                        <a:noFill/>
                        <a:miter lim="800000"/>
                        <a:headEnd/>
                        <a:tailEnd/>
                      </a:ln>
                    </wps:spPr>
                    <wps:txbx>
                      <w:txbxContent>
                        <w:p w14:paraId="69CE664D" w14:textId="76D97ABC" w:rsidR="00B45A0D" w:rsidRPr="00B45A0D" w:rsidRDefault="00B45A0D" w:rsidP="00B45A0D">
                          <w:pPr>
                            <w:pStyle w:val="Geenafstand"/>
                            <w:rPr>
                              <w:rFonts w:ascii="Tw Cen MT" w:hAnsi="Tw Cen MT"/>
                              <w:sz w:val="28"/>
                              <w:lang w:val="en-US"/>
                            </w:rPr>
                          </w:pPr>
                          <w:r w:rsidRPr="00B45A0D">
                            <w:rPr>
                              <w:rFonts w:ascii="Tw Cen MT" w:hAnsi="Tw Cen MT"/>
                              <w:sz w:val="28"/>
                              <w:lang w:val="en-US"/>
                            </w:rPr>
                            <w:t>DISPLACEMENT TRACKING MATRIX – GENDER BASED VIOLENCE</w:t>
                          </w:r>
                        </w:p>
                        <w:p w14:paraId="0A18215E" w14:textId="77777777" w:rsidR="00E43655" w:rsidRDefault="00A90858" w:rsidP="00B45A0D">
                          <w:pPr>
                            <w:pStyle w:val="Geenafstand"/>
                            <w:rPr>
                              <w:rFonts w:ascii="Tw Cen MT" w:hAnsi="Tw Cen MT"/>
                              <w:b/>
                              <w:sz w:val="44"/>
                              <w:lang w:val="en-US"/>
                            </w:rPr>
                          </w:pPr>
                          <w:r>
                            <w:rPr>
                              <w:rFonts w:ascii="Tw Cen MT" w:hAnsi="Tw Cen MT"/>
                              <w:b/>
                              <w:sz w:val="44"/>
                              <w:lang w:val="en-US"/>
                            </w:rPr>
                            <w:t xml:space="preserve">Using DTM </w:t>
                          </w:r>
                          <w:r w:rsidR="00E43655">
                            <w:rPr>
                              <w:rFonts w:ascii="Tw Cen MT" w:hAnsi="Tw Cen MT"/>
                              <w:b/>
                              <w:sz w:val="44"/>
                              <w:lang w:val="en-US"/>
                            </w:rPr>
                            <w:t xml:space="preserve">Multisectoral </w:t>
                          </w:r>
                          <w:r>
                            <w:rPr>
                              <w:rFonts w:ascii="Tw Cen MT" w:hAnsi="Tw Cen MT"/>
                              <w:b/>
                              <w:sz w:val="44"/>
                              <w:lang w:val="en-US"/>
                            </w:rPr>
                            <w:t xml:space="preserve">Location Assessment </w:t>
                          </w:r>
                        </w:p>
                        <w:p w14:paraId="511A7E6D" w14:textId="5AC4C93F" w:rsidR="00C8216B" w:rsidRPr="00C8216B" w:rsidRDefault="00A90858" w:rsidP="00B45A0D">
                          <w:pPr>
                            <w:pStyle w:val="Geenafstand"/>
                            <w:rPr>
                              <w:rFonts w:ascii="Tw Cen MT" w:hAnsi="Tw Cen MT"/>
                              <w:sz w:val="18"/>
                              <w:lang w:val="en-US"/>
                            </w:rPr>
                          </w:pPr>
                          <w:r>
                            <w:rPr>
                              <w:rFonts w:ascii="Tw Cen MT" w:hAnsi="Tw Cen MT"/>
                              <w:b/>
                              <w:sz w:val="44"/>
                              <w:lang w:val="en-US"/>
                            </w:rPr>
                            <w:t>to inform GBV response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888E18" id="_x0000_t202" coordsize="21600,21600" o:spt="202" path="m,l,21600r21600,l21600,xe">
              <v:stroke joinstyle="miter"/>
              <v:path gradientshapeok="t" o:connecttype="rect"/>
            </v:shapetype>
            <v:shape id="_x0000_s1028" type="#_x0000_t202" style="position:absolute;margin-left:-10.25pt;margin-top:-28.8pt;width:527.4pt;height:81.6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" stroked="f">
              <v:textbox>
                <w:txbxContent>
                  <w:p w14:paraId="69CE664D" w14:textId="76D97ABC" w:rsidR="00B45A0D" w:rsidRPr="00B45A0D" w:rsidRDefault="00B45A0D" w:rsidP="00B45A0D">
                    <w:pPr>
                      <w:pStyle w:val="NoSpacing"/>
                      <w:rPr>
                        <w:rFonts w:ascii="Tw Cen MT" w:hAnsi="Tw Cen MT"/>
                        <w:sz w:val="28"/>
                        <w:lang w:val="en-US"/>
                      </w:rPr>
                    </w:pPr>
                    <w:r w:rsidRPr="00B45A0D">
                      <w:rPr>
                        <w:rFonts w:ascii="Tw Cen MT" w:hAnsi="Tw Cen MT"/>
                        <w:sz w:val="28"/>
                        <w:lang w:val="en-US"/>
                      </w:rPr>
                      <w:t>DISPLACEMENT TRACKING MATRIX – GENDER BASED VIOLENCE</w:t>
                    </w:r>
                  </w:p>
                  <w:p w14:paraId="0A18215E" w14:textId="77777777" w:rsidR="00E43655" w:rsidRDefault="00A90858" w:rsidP="00B45A0D">
                    <w:pPr>
                      <w:pStyle w:val="NoSpacing"/>
                      <w:rPr>
                        <w:rFonts w:ascii="Tw Cen MT" w:hAnsi="Tw Cen MT"/>
                        <w:b/>
                        <w:sz w:val="44"/>
                        <w:lang w:val="en-US"/>
                      </w:rPr>
                    </w:pPr>
                    <w:r>
                      <w:rPr>
                        <w:rFonts w:ascii="Tw Cen MT" w:hAnsi="Tw Cen MT"/>
                        <w:b/>
                        <w:sz w:val="44"/>
                        <w:lang w:val="en-US"/>
                      </w:rPr>
                      <w:t xml:space="preserve">Using DTM </w:t>
                    </w:r>
                    <w:r w:rsidR="00E43655">
                      <w:rPr>
                        <w:rFonts w:ascii="Tw Cen MT" w:hAnsi="Tw Cen MT"/>
                        <w:b/>
                        <w:sz w:val="44"/>
                        <w:lang w:val="en-US"/>
                      </w:rPr>
                      <w:t xml:space="preserve">Multisectoral </w:t>
                    </w:r>
                    <w:r>
                      <w:rPr>
                        <w:rFonts w:ascii="Tw Cen MT" w:hAnsi="Tw Cen MT"/>
                        <w:b/>
                        <w:sz w:val="44"/>
                        <w:lang w:val="en-US"/>
                      </w:rPr>
                      <w:t xml:space="preserve">Location Assessment </w:t>
                    </w:r>
                  </w:p>
                  <w:p w14:paraId="511A7E6D" w14:textId="5AC4C93F" w:rsidR="00C8216B" w:rsidRPr="00C8216B" w:rsidRDefault="00A90858" w:rsidP="00B45A0D">
                    <w:pPr>
                      <w:pStyle w:val="NoSpacing"/>
                      <w:rPr>
                        <w:rFonts w:ascii="Tw Cen MT" w:hAnsi="Tw Cen MT"/>
                        <w:sz w:val="18"/>
                        <w:lang w:val="en-US"/>
                      </w:rPr>
                    </w:pPr>
                    <w:r>
                      <w:rPr>
                        <w:rFonts w:ascii="Tw Cen MT" w:hAnsi="Tw Cen MT"/>
                        <w:b/>
                        <w:sz w:val="44"/>
                        <w:lang w:val="en-US"/>
                      </w:rPr>
                      <w:t>to inform GBV response</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51A9F"/>
    <w:multiLevelType w:val="hybridMultilevel"/>
    <w:tmpl w:val="13EC86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6A81A39"/>
    <w:multiLevelType w:val="hybridMultilevel"/>
    <w:tmpl w:val="8A2C2952"/>
    <w:lvl w:ilvl="0" w:tplc="843C52BC">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 w15:restartNumberingAfterBreak="0">
    <w:nsid w:val="0BA56C9B"/>
    <w:multiLevelType w:val="hybridMultilevel"/>
    <w:tmpl w:val="84F65EA4"/>
    <w:lvl w:ilvl="0" w:tplc="E74E5AE6">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3" w15:restartNumberingAfterBreak="0">
    <w:nsid w:val="0D2F6648"/>
    <w:multiLevelType w:val="hybridMultilevel"/>
    <w:tmpl w:val="5718B0FA"/>
    <w:lvl w:ilvl="0" w:tplc="A9AE16B4">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4" w15:restartNumberingAfterBreak="0">
    <w:nsid w:val="10EE25F3"/>
    <w:multiLevelType w:val="hybridMultilevel"/>
    <w:tmpl w:val="0FA6B67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7427B11"/>
    <w:multiLevelType w:val="hybridMultilevel"/>
    <w:tmpl w:val="0CC8B816"/>
    <w:lvl w:ilvl="0" w:tplc="C14C2260">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6" w15:restartNumberingAfterBreak="0">
    <w:nsid w:val="18C736AD"/>
    <w:multiLevelType w:val="hybridMultilevel"/>
    <w:tmpl w:val="98FCA38A"/>
    <w:lvl w:ilvl="0" w:tplc="948E8C86">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7" w15:restartNumberingAfterBreak="0">
    <w:nsid w:val="1D2C6028"/>
    <w:multiLevelType w:val="hybridMultilevel"/>
    <w:tmpl w:val="1126570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4882CF9"/>
    <w:multiLevelType w:val="hybridMultilevel"/>
    <w:tmpl w:val="ABFA207C"/>
    <w:lvl w:ilvl="0" w:tplc="3FB808DE">
      <w:start w:val="1"/>
      <w:numFmt w:val="lowerLetter"/>
      <w:lvlText w:val="%1)"/>
      <w:lvlJc w:val="left"/>
      <w:pPr>
        <w:ind w:left="2484" w:hanging="360"/>
      </w:pPr>
      <w:rPr>
        <w:rFonts w:hint="default"/>
      </w:rPr>
    </w:lvl>
    <w:lvl w:ilvl="1" w:tplc="04130019" w:tentative="1">
      <w:start w:val="1"/>
      <w:numFmt w:val="lowerLetter"/>
      <w:lvlText w:val="%2."/>
      <w:lvlJc w:val="left"/>
      <w:pPr>
        <w:ind w:left="3204" w:hanging="360"/>
      </w:pPr>
    </w:lvl>
    <w:lvl w:ilvl="2" w:tplc="0413001B" w:tentative="1">
      <w:start w:val="1"/>
      <w:numFmt w:val="lowerRoman"/>
      <w:lvlText w:val="%3."/>
      <w:lvlJc w:val="right"/>
      <w:pPr>
        <w:ind w:left="3924" w:hanging="180"/>
      </w:pPr>
    </w:lvl>
    <w:lvl w:ilvl="3" w:tplc="0413000F" w:tentative="1">
      <w:start w:val="1"/>
      <w:numFmt w:val="decimal"/>
      <w:lvlText w:val="%4."/>
      <w:lvlJc w:val="left"/>
      <w:pPr>
        <w:ind w:left="4644" w:hanging="360"/>
      </w:pPr>
    </w:lvl>
    <w:lvl w:ilvl="4" w:tplc="04130019" w:tentative="1">
      <w:start w:val="1"/>
      <w:numFmt w:val="lowerLetter"/>
      <w:lvlText w:val="%5."/>
      <w:lvlJc w:val="left"/>
      <w:pPr>
        <w:ind w:left="5364" w:hanging="360"/>
      </w:pPr>
    </w:lvl>
    <w:lvl w:ilvl="5" w:tplc="0413001B" w:tentative="1">
      <w:start w:val="1"/>
      <w:numFmt w:val="lowerRoman"/>
      <w:lvlText w:val="%6."/>
      <w:lvlJc w:val="right"/>
      <w:pPr>
        <w:ind w:left="6084" w:hanging="180"/>
      </w:pPr>
    </w:lvl>
    <w:lvl w:ilvl="6" w:tplc="0413000F" w:tentative="1">
      <w:start w:val="1"/>
      <w:numFmt w:val="decimal"/>
      <w:lvlText w:val="%7."/>
      <w:lvlJc w:val="left"/>
      <w:pPr>
        <w:ind w:left="6804" w:hanging="360"/>
      </w:pPr>
    </w:lvl>
    <w:lvl w:ilvl="7" w:tplc="04130019" w:tentative="1">
      <w:start w:val="1"/>
      <w:numFmt w:val="lowerLetter"/>
      <w:lvlText w:val="%8."/>
      <w:lvlJc w:val="left"/>
      <w:pPr>
        <w:ind w:left="7524" w:hanging="360"/>
      </w:pPr>
    </w:lvl>
    <w:lvl w:ilvl="8" w:tplc="0413001B" w:tentative="1">
      <w:start w:val="1"/>
      <w:numFmt w:val="lowerRoman"/>
      <w:lvlText w:val="%9."/>
      <w:lvlJc w:val="right"/>
      <w:pPr>
        <w:ind w:left="8244" w:hanging="180"/>
      </w:pPr>
    </w:lvl>
  </w:abstractNum>
  <w:abstractNum w:abstractNumId="9" w15:restartNumberingAfterBreak="0">
    <w:nsid w:val="28423265"/>
    <w:multiLevelType w:val="hybridMultilevel"/>
    <w:tmpl w:val="829AE12C"/>
    <w:lvl w:ilvl="0" w:tplc="A96075D8">
      <w:start w:val="1"/>
      <w:numFmt w:val="bullet"/>
      <w:lvlText w:val="-"/>
      <w:lvlJc w:val="left"/>
      <w:pPr>
        <w:ind w:left="720" w:hanging="360"/>
      </w:pPr>
      <w:rPr>
        <w:rFonts w:ascii="Calibri Light" w:eastAsiaTheme="minorHAnsi" w:hAnsi="Calibri Light" w:cs="Calibri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D564766"/>
    <w:multiLevelType w:val="hybridMultilevel"/>
    <w:tmpl w:val="8CE6E8BA"/>
    <w:lvl w:ilvl="0" w:tplc="B6C2A5C2">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11" w15:restartNumberingAfterBreak="0">
    <w:nsid w:val="4A57249E"/>
    <w:multiLevelType w:val="hybridMultilevel"/>
    <w:tmpl w:val="B7061314"/>
    <w:lvl w:ilvl="0" w:tplc="91528D2E">
      <w:start w:val="1"/>
      <w:numFmt w:val="bullet"/>
      <w:lvlText w:val="-"/>
      <w:lvlJc w:val="left"/>
      <w:pPr>
        <w:ind w:left="3900" w:hanging="360"/>
      </w:pPr>
      <w:rPr>
        <w:rFonts w:ascii="Tw Cen MT" w:eastAsiaTheme="minorHAnsi" w:hAnsi="Tw Cen MT" w:cstheme="majorHAnsi" w:hint="default"/>
      </w:rPr>
    </w:lvl>
    <w:lvl w:ilvl="1" w:tplc="04130003" w:tentative="1">
      <w:start w:val="1"/>
      <w:numFmt w:val="bullet"/>
      <w:lvlText w:val="o"/>
      <w:lvlJc w:val="left"/>
      <w:pPr>
        <w:ind w:left="4620" w:hanging="360"/>
      </w:pPr>
      <w:rPr>
        <w:rFonts w:ascii="Courier New" w:hAnsi="Courier New" w:cs="Courier New" w:hint="default"/>
      </w:rPr>
    </w:lvl>
    <w:lvl w:ilvl="2" w:tplc="04130005" w:tentative="1">
      <w:start w:val="1"/>
      <w:numFmt w:val="bullet"/>
      <w:lvlText w:val=""/>
      <w:lvlJc w:val="left"/>
      <w:pPr>
        <w:ind w:left="5340" w:hanging="360"/>
      </w:pPr>
      <w:rPr>
        <w:rFonts w:ascii="Wingdings" w:hAnsi="Wingdings" w:hint="default"/>
      </w:rPr>
    </w:lvl>
    <w:lvl w:ilvl="3" w:tplc="04130001" w:tentative="1">
      <w:start w:val="1"/>
      <w:numFmt w:val="bullet"/>
      <w:lvlText w:val=""/>
      <w:lvlJc w:val="left"/>
      <w:pPr>
        <w:ind w:left="6060" w:hanging="360"/>
      </w:pPr>
      <w:rPr>
        <w:rFonts w:ascii="Symbol" w:hAnsi="Symbol" w:hint="default"/>
      </w:rPr>
    </w:lvl>
    <w:lvl w:ilvl="4" w:tplc="04130003" w:tentative="1">
      <w:start w:val="1"/>
      <w:numFmt w:val="bullet"/>
      <w:lvlText w:val="o"/>
      <w:lvlJc w:val="left"/>
      <w:pPr>
        <w:ind w:left="6780" w:hanging="360"/>
      </w:pPr>
      <w:rPr>
        <w:rFonts w:ascii="Courier New" w:hAnsi="Courier New" w:cs="Courier New" w:hint="default"/>
      </w:rPr>
    </w:lvl>
    <w:lvl w:ilvl="5" w:tplc="04130005" w:tentative="1">
      <w:start w:val="1"/>
      <w:numFmt w:val="bullet"/>
      <w:lvlText w:val=""/>
      <w:lvlJc w:val="left"/>
      <w:pPr>
        <w:ind w:left="7500" w:hanging="360"/>
      </w:pPr>
      <w:rPr>
        <w:rFonts w:ascii="Wingdings" w:hAnsi="Wingdings" w:hint="default"/>
      </w:rPr>
    </w:lvl>
    <w:lvl w:ilvl="6" w:tplc="04130001" w:tentative="1">
      <w:start w:val="1"/>
      <w:numFmt w:val="bullet"/>
      <w:lvlText w:val=""/>
      <w:lvlJc w:val="left"/>
      <w:pPr>
        <w:ind w:left="8220" w:hanging="360"/>
      </w:pPr>
      <w:rPr>
        <w:rFonts w:ascii="Symbol" w:hAnsi="Symbol" w:hint="default"/>
      </w:rPr>
    </w:lvl>
    <w:lvl w:ilvl="7" w:tplc="04130003" w:tentative="1">
      <w:start w:val="1"/>
      <w:numFmt w:val="bullet"/>
      <w:lvlText w:val="o"/>
      <w:lvlJc w:val="left"/>
      <w:pPr>
        <w:ind w:left="8940" w:hanging="360"/>
      </w:pPr>
      <w:rPr>
        <w:rFonts w:ascii="Courier New" w:hAnsi="Courier New" w:cs="Courier New" w:hint="default"/>
      </w:rPr>
    </w:lvl>
    <w:lvl w:ilvl="8" w:tplc="04130005" w:tentative="1">
      <w:start w:val="1"/>
      <w:numFmt w:val="bullet"/>
      <w:lvlText w:val=""/>
      <w:lvlJc w:val="left"/>
      <w:pPr>
        <w:ind w:left="9660" w:hanging="360"/>
      </w:pPr>
      <w:rPr>
        <w:rFonts w:ascii="Wingdings" w:hAnsi="Wingdings" w:hint="default"/>
      </w:rPr>
    </w:lvl>
  </w:abstractNum>
  <w:abstractNum w:abstractNumId="12" w15:restartNumberingAfterBreak="0">
    <w:nsid w:val="4BB81A83"/>
    <w:multiLevelType w:val="hybridMultilevel"/>
    <w:tmpl w:val="7E645D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E0F6229"/>
    <w:multiLevelType w:val="hybridMultilevel"/>
    <w:tmpl w:val="1ED088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C1314DB"/>
    <w:multiLevelType w:val="hybridMultilevel"/>
    <w:tmpl w:val="26A04012"/>
    <w:lvl w:ilvl="0" w:tplc="4B22B94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2632FA1"/>
    <w:multiLevelType w:val="hybridMultilevel"/>
    <w:tmpl w:val="ED9076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47D374A"/>
    <w:multiLevelType w:val="hybridMultilevel"/>
    <w:tmpl w:val="3348B94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797B42E4"/>
    <w:multiLevelType w:val="hybridMultilevel"/>
    <w:tmpl w:val="FBFA4B82"/>
    <w:lvl w:ilvl="0" w:tplc="A7387FA2">
      <w:start w:val="1"/>
      <w:numFmt w:val="lowerLetter"/>
      <w:lvlText w:val="%1)"/>
      <w:lvlJc w:val="left"/>
      <w:pPr>
        <w:ind w:left="1080" w:hanging="360"/>
      </w:pPr>
      <w:rPr>
        <w:rFonts w:hint="default"/>
        <w:i/>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8" w15:restartNumberingAfterBreak="0">
    <w:nsid w:val="7A4E4F95"/>
    <w:multiLevelType w:val="hybridMultilevel"/>
    <w:tmpl w:val="BC661234"/>
    <w:lvl w:ilvl="0" w:tplc="6D6C6ACE">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19" w15:restartNumberingAfterBreak="0">
    <w:nsid w:val="7D323954"/>
    <w:multiLevelType w:val="hybridMultilevel"/>
    <w:tmpl w:val="D442682E"/>
    <w:lvl w:ilvl="0" w:tplc="B798B4FC">
      <w:start w:val="1"/>
      <w:numFmt w:val="upp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20" w15:restartNumberingAfterBreak="0">
    <w:nsid w:val="7F692C95"/>
    <w:multiLevelType w:val="hybridMultilevel"/>
    <w:tmpl w:val="D7CA0F8E"/>
    <w:lvl w:ilvl="0" w:tplc="71A66F78">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abstractNumId w:val="15"/>
  </w:num>
  <w:num w:numId="2">
    <w:abstractNumId w:val="13"/>
  </w:num>
  <w:num w:numId="3">
    <w:abstractNumId w:val="12"/>
  </w:num>
  <w:num w:numId="4">
    <w:abstractNumId w:val="1"/>
  </w:num>
  <w:num w:numId="5">
    <w:abstractNumId w:val="0"/>
  </w:num>
  <w:num w:numId="6">
    <w:abstractNumId w:val="9"/>
  </w:num>
  <w:num w:numId="7">
    <w:abstractNumId w:val="7"/>
  </w:num>
  <w:num w:numId="8">
    <w:abstractNumId w:val="4"/>
  </w:num>
  <w:num w:numId="9">
    <w:abstractNumId w:val="10"/>
  </w:num>
  <w:num w:numId="10">
    <w:abstractNumId w:val="17"/>
  </w:num>
  <w:num w:numId="11">
    <w:abstractNumId w:val="18"/>
  </w:num>
  <w:num w:numId="12">
    <w:abstractNumId w:val="5"/>
  </w:num>
  <w:num w:numId="13">
    <w:abstractNumId w:val="19"/>
  </w:num>
  <w:num w:numId="14">
    <w:abstractNumId w:val="6"/>
  </w:num>
  <w:num w:numId="15">
    <w:abstractNumId w:val="2"/>
  </w:num>
  <w:num w:numId="16">
    <w:abstractNumId w:val="20"/>
  </w:num>
  <w:num w:numId="17">
    <w:abstractNumId w:val="8"/>
  </w:num>
  <w:num w:numId="18">
    <w:abstractNumId w:val="11"/>
  </w:num>
  <w:num w:numId="19">
    <w:abstractNumId w:val="3"/>
  </w:num>
  <w:num w:numId="20">
    <w:abstractNumId w:val="14"/>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F50"/>
    <w:rsid w:val="0001540A"/>
    <w:rsid w:val="00040AEF"/>
    <w:rsid w:val="00064B8F"/>
    <w:rsid w:val="000677A1"/>
    <w:rsid w:val="00067A24"/>
    <w:rsid w:val="0007609F"/>
    <w:rsid w:val="000B43E4"/>
    <w:rsid w:val="000C53DA"/>
    <w:rsid w:val="000D326D"/>
    <w:rsid w:val="00166F86"/>
    <w:rsid w:val="00170100"/>
    <w:rsid w:val="001A1C59"/>
    <w:rsid w:val="001B1D5F"/>
    <w:rsid w:val="001B6639"/>
    <w:rsid w:val="001C2176"/>
    <w:rsid w:val="00203A41"/>
    <w:rsid w:val="00235660"/>
    <w:rsid w:val="002552E7"/>
    <w:rsid w:val="002B5DDD"/>
    <w:rsid w:val="002B75D1"/>
    <w:rsid w:val="002D485E"/>
    <w:rsid w:val="002D5655"/>
    <w:rsid w:val="002E650D"/>
    <w:rsid w:val="002F23A3"/>
    <w:rsid w:val="00300831"/>
    <w:rsid w:val="00354F50"/>
    <w:rsid w:val="0035746E"/>
    <w:rsid w:val="003772E4"/>
    <w:rsid w:val="003C5348"/>
    <w:rsid w:val="003E0B36"/>
    <w:rsid w:val="003F6DE3"/>
    <w:rsid w:val="003F7221"/>
    <w:rsid w:val="0040740D"/>
    <w:rsid w:val="004106CD"/>
    <w:rsid w:val="00414EEE"/>
    <w:rsid w:val="00424E80"/>
    <w:rsid w:val="004601D5"/>
    <w:rsid w:val="004859DF"/>
    <w:rsid w:val="004D4323"/>
    <w:rsid w:val="00540219"/>
    <w:rsid w:val="00541A4B"/>
    <w:rsid w:val="00545F61"/>
    <w:rsid w:val="005818A3"/>
    <w:rsid w:val="005A020F"/>
    <w:rsid w:val="005A18CB"/>
    <w:rsid w:val="005D25D1"/>
    <w:rsid w:val="00607182"/>
    <w:rsid w:val="006072C8"/>
    <w:rsid w:val="00642898"/>
    <w:rsid w:val="00666977"/>
    <w:rsid w:val="00666D4D"/>
    <w:rsid w:val="006C081F"/>
    <w:rsid w:val="006D189F"/>
    <w:rsid w:val="007363A0"/>
    <w:rsid w:val="00764680"/>
    <w:rsid w:val="0078234F"/>
    <w:rsid w:val="007E272E"/>
    <w:rsid w:val="007F5E63"/>
    <w:rsid w:val="00820F20"/>
    <w:rsid w:val="0082266E"/>
    <w:rsid w:val="00836E1B"/>
    <w:rsid w:val="00847A3E"/>
    <w:rsid w:val="0086356F"/>
    <w:rsid w:val="008740E6"/>
    <w:rsid w:val="008B5B44"/>
    <w:rsid w:val="008B6F21"/>
    <w:rsid w:val="008C2F52"/>
    <w:rsid w:val="008C4082"/>
    <w:rsid w:val="008E51B9"/>
    <w:rsid w:val="008F0328"/>
    <w:rsid w:val="00926145"/>
    <w:rsid w:val="00934633"/>
    <w:rsid w:val="00946131"/>
    <w:rsid w:val="00955D1F"/>
    <w:rsid w:val="00956271"/>
    <w:rsid w:val="00986EA4"/>
    <w:rsid w:val="009A1C86"/>
    <w:rsid w:val="009F34B2"/>
    <w:rsid w:val="00A00F56"/>
    <w:rsid w:val="00A17E5F"/>
    <w:rsid w:val="00A34064"/>
    <w:rsid w:val="00A36CED"/>
    <w:rsid w:val="00A64BC2"/>
    <w:rsid w:val="00A90858"/>
    <w:rsid w:val="00A925DF"/>
    <w:rsid w:val="00A95295"/>
    <w:rsid w:val="00AA7651"/>
    <w:rsid w:val="00AE2D81"/>
    <w:rsid w:val="00AF514F"/>
    <w:rsid w:val="00B327C5"/>
    <w:rsid w:val="00B45A0D"/>
    <w:rsid w:val="00B54B16"/>
    <w:rsid w:val="00B632DF"/>
    <w:rsid w:val="00B80193"/>
    <w:rsid w:val="00BB425C"/>
    <w:rsid w:val="00BF5954"/>
    <w:rsid w:val="00BF69C5"/>
    <w:rsid w:val="00C0123E"/>
    <w:rsid w:val="00C05F79"/>
    <w:rsid w:val="00C767CD"/>
    <w:rsid w:val="00C777C6"/>
    <w:rsid w:val="00C8216B"/>
    <w:rsid w:val="00CB5782"/>
    <w:rsid w:val="00CE4B88"/>
    <w:rsid w:val="00CE68AE"/>
    <w:rsid w:val="00D01BCE"/>
    <w:rsid w:val="00D04335"/>
    <w:rsid w:val="00D308D2"/>
    <w:rsid w:val="00D33813"/>
    <w:rsid w:val="00D35A6E"/>
    <w:rsid w:val="00D44C75"/>
    <w:rsid w:val="00D735F3"/>
    <w:rsid w:val="00D86AFF"/>
    <w:rsid w:val="00D91B8D"/>
    <w:rsid w:val="00DA08CD"/>
    <w:rsid w:val="00DB050B"/>
    <w:rsid w:val="00DB344F"/>
    <w:rsid w:val="00DB5849"/>
    <w:rsid w:val="00DE06D1"/>
    <w:rsid w:val="00E0729D"/>
    <w:rsid w:val="00E4309B"/>
    <w:rsid w:val="00E43655"/>
    <w:rsid w:val="00E6216C"/>
    <w:rsid w:val="00E72B44"/>
    <w:rsid w:val="00E82E9D"/>
    <w:rsid w:val="00E90F2E"/>
    <w:rsid w:val="00EA1C23"/>
    <w:rsid w:val="00EC69D0"/>
    <w:rsid w:val="00EE4B28"/>
    <w:rsid w:val="00EE586B"/>
    <w:rsid w:val="00F12770"/>
    <w:rsid w:val="00F2425E"/>
    <w:rsid w:val="00F42977"/>
    <w:rsid w:val="00F743B3"/>
    <w:rsid w:val="00FC500F"/>
    <w:rsid w:val="00FC676D"/>
    <w:rsid w:val="00FE0A68"/>
    <w:rsid w:val="00FF65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FFA89D"/>
  <w15:chartTrackingRefBased/>
  <w15:docId w15:val="{5D915E89-261D-48F9-967A-AEE95D4B5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B344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54F50"/>
    <w:pPr>
      <w:spacing w:after="0" w:line="240" w:lineRule="auto"/>
    </w:pPr>
  </w:style>
  <w:style w:type="paragraph" w:styleId="Lijstalinea">
    <w:name w:val="List Paragraph"/>
    <w:basedOn w:val="Standaard"/>
    <w:uiPriority w:val="34"/>
    <w:qFormat/>
    <w:rsid w:val="005D25D1"/>
    <w:pPr>
      <w:ind w:left="720"/>
      <w:contextualSpacing/>
    </w:pPr>
  </w:style>
  <w:style w:type="paragraph" w:styleId="Koptekst">
    <w:name w:val="header"/>
    <w:basedOn w:val="Standaard"/>
    <w:link w:val="KoptekstChar"/>
    <w:uiPriority w:val="99"/>
    <w:unhideWhenUsed/>
    <w:rsid w:val="0023566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35660"/>
  </w:style>
  <w:style w:type="paragraph" w:styleId="Voettekst">
    <w:name w:val="footer"/>
    <w:basedOn w:val="Standaard"/>
    <w:link w:val="VoettekstChar"/>
    <w:uiPriority w:val="99"/>
    <w:unhideWhenUsed/>
    <w:rsid w:val="0023566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35660"/>
  </w:style>
  <w:style w:type="character" w:styleId="Hyperlink">
    <w:name w:val="Hyperlink"/>
    <w:basedOn w:val="Standaardalinea-lettertype"/>
    <w:uiPriority w:val="99"/>
    <w:unhideWhenUsed/>
    <w:rsid w:val="004106CD"/>
    <w:rPr>
      <w:color w:val="0563C1" w:themeColor="hyperlink"/>
      <w:u w:val="single"/>
    </w:rPr>
  </w:style>
  <w:style w:type="character" w:styleId="Onopgelostemelding">
    <w:name w:val="Unresolved Mention"/>
    <w:basedOn w:val="Standaardalinea-lettertype"/>
    <w:uiPriority w:val="99"/>
    <w:semiHidden/>
    <w:unhideWhenUsed/>
    <w:rsid w:val="004106CD"/>
    <w:rPr>
      <w:color w:val="605E5C"/>
      <w:shd w:val="clear" w:color="auto" w:fill="E1DFDD"/>
    </w:rPr>
  </w:style>
  <w:style w:type="character" w:styleId="Verwijzingopmerking">
    <w:name w:val="annotation reference"/>
    <w:basedOn w:val="Standaardalinea-lettertype"/>
    <w:uiPriority w:val="99"/>
    <w:semiHidden/>
    <w:unhideWhenUsed/>
    <w:rsid w:val="00926145"/>
    <w:rPr>
      <w:sz w:val="16"/>
      <w:szCs w:val="16"/>
    </w:rPr>
  </w:style>
  <w:style w:type="paragraph" w:styleId="Tekstopmerking">
    <w:name w:val="annotation text"/>
    <w:basedOn w:val="Standaard"/>
    <w:link w:val="TekstopmerkingChar"/>
    <w:uiPriority w:val="99"/>
    <w:semiHidden/>
    <w:unhideWhenUsed/>
    <w:rsid w:val="0092614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26145"/>
    <w:rPr>
      <w:sz w:val="20"/>
      <w:szCs w:val="20"/>
    </w:rPr>
  </w:style>
  <w:style w:type="paragraph" w:styleId="Onderwerpvanopmerking">
    <w:name w:val="annotation subject"/>
    <w:basedOn w:val="Tekstopmerking"/>
    <w:next w:val="Tekstopmerking"/>
    <w:link w:val="OnderwerpvanopmerkingChar"/>
    <w:uiPriority w:val="99"/>
    <w:semiHidden/>
    <w:unhideWhenUsed/>
    <w:rsid w:val="00926145"/>
    <w:rPr>
      <w:b/>
      <w:bCs/>
    </w:rPr>
  </w:style>
  <w:style w:type="character" w:customStyle="1" w:styleId="OnderwerpvanopmerkingChar">
    <w:name w:val="Onderwerp van opmerking Char"/>
    <w:basedOn w:val="TekstopmerkingChar"/>
    <w:link w:val="Onderwerpvanopmerking"/>
    <w:uiPriority w:val="99"/>
    <w:semiHidden/>
    <w:rsid w:val="00926145"/>
    <w:rPr>
      <w:b/>
      <w:bCs/>
      <w:sz w:val="20"/>
      <w:szCs w:val="20"/>
    </w:rPr>
  </w:style>
  <w:style w:type="paragraph" w:styleId="Ballontekst">
    <w:name w:val="Balloon Text"/>
    <w:basedOn w:val="Standaard"/>
    <w:link w:val="BallontekstChar"/>
    <w:uiPriority w:val="99"/>
    <w:semiHidden/>
    <w:unhideWhenUsed/>
    <w:rsid w:val="0092614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26145"/>
    <w:rPr>
      <w:rFonts w:ascii="Segoe UI" w:hAnsi="Segoe UI" w:cs="Segoe UI"/>
      <w:sz w:val="18"/>
      <w:szCs w:val="18"/>
    </w:rPr>
  </w:style>
  <w:style w:type="paragraph" w:styleId="Voetnoottekst">
    <w:name w:val="footnote text"/>
    <w:basedOn w:val="Standaard"/>
    <w:link w:val="VoetnoottekstChar"/>
    <w:uiPriority w:val="99"/>
    <w:semiHidden/>
    <w:unhideWhenUsed/>
    <w:rsid w:val="00E72B4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E72B44"/>
    <w:rPr>
      <w:sz w:val="20"/>
      <w:szCs w:val="20"/>
    </w:rPr>
  </w:style>
  <w:style w:type="character" w:styleId="Voetnootmarkering">
    <w:name w:val="footnote reference"/>
    <w:basedOn w:val="Standaardalinea-lettertype"/>
    <w:uiPriority w:val="99"/>
    <w:semiHidden/>
    <w:unhideWhenUsed/>
    <w:rsid w:val="00E72B44"/>
    <w:rPr>
      <w:vertAlign w:val="superscript"/>
    </w:rPr>
  </w:style>
  <w:style w:type="character" w:styleId="GevolgdeHyperlink">
    <w:name w:val="FollowedHyperlink"/>
    <w:basedOn w:val="Standaardalinea-lettertype"/>
    <w:uiPriority w:val="99"/>
    <w:semiHidden/>
    <w:unhideWhenUsed/>
    <w:rsid w:val="00A340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displacement.iom.int/dtm-partners-toolkit/sectoral-questions-location-assessment" TargetMode="External"/><Relationship Id="rId2" Type="http://schemas.openxmlformats.org/officeDocument/2006/relationships/hyperlink" Target="https://displacement.iom.int/dtm-partners-toolkit/field-companion-pdf" TargetMode="External"/><Relationship Id="rId1" Type="http://schemas.openxmlformats.org/officeDocument/2006/relationships/hyperlink" Target="https://displacement.iom.int/dtm-partners-toolkit/field-companion-excel" TargetMode="External"/><Relationship Id="rId5" Type="http://schemas.openxmlformats.org/officeDocument/2006/relationships/hyperlink" Target="https://gbvguidelines.org/wp/wp-content/uploads/2015/09/2015-IASC-Gender-based-Violence-Guidelines_lo-res.pdf" TargetMode="External"/><Relationship Id="rId4" Type="http://schemas.openxmlformats.org/officeDocument/2006/relationships/hyperlink" Target="https://displacement.iom.int/dtm-partners-toolkit/gbv"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52E74-5652-4DAA-B222-F7FC3918E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1895</Words>
  <Characters>10802</Characters>
  <Application>Microsoft Office Word</Application>
  <DocSecurity>0</DocSecurity>
  <Lines>90</Lines>
  <Paragraphs>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Fray van Herk</dc:creator>
  <cp:keywords/>
  <dc:description/>
  <cp:lastModifiedBy>Fray van Herk</cp:lastModifiedBy>
  <cp:revision>2</cp:revision>
  <dcterms:created xsi:type="dcterms:W3CDTF">2019-06-14T13:51:00Z</dcterms:created>
  <dcterms:modified xsi:type="dcterms:W3CDTF">2019-06-14T13:51:00Z</dcterms:modified>
</cp:coreProperties>
</file>